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711" w:rsidRPr="008F5242" w:rsidRDefault="004C6711" w:rsidP="00FB1502">
      <w:pPr>
        <w:tabs>
          <w:tab w:val="left" w:pos="1544"/>
        </w:tabs>
        <w:rPr>
          <w:rFonts w:asciiTheme="minorHAnsi" w:hAnsiTheme="minorHAnsi" w:cstheme="minorHAnsi"/>
        </w:rPr>
      </w:pPr>
    </w:p>
    <w:p w:rsidR="004C6711" w:rsidRDefault="004C6711" w:rsidP="004C6711">
      <w:pPr>
        <w:keepNext/>
        <w:spacing w:line="240" w:lineRule="auto"/>
        <w:outlineLvl w:val="0"/>
        <w:rPr>
          <w:rFonts w:cs="Arial"/>
          <w:bCs/>
        </w:rPr>
      </w:pPr>
      <w:r w:rsidRPr="00D758D3">
        <w:rPr>
          <w:rFonts w:cs="Arial"/>
          <w:bCs/>
        </w:rPr>
        <w:t xml:space="preserve">Załącznik nr 1 </w:t>
      </w:r>
    </w:p>
    <w:p w:rsidR="004C6711" w:rsidRDefault="004C6711" w:rsidP="004C6711">
      <w:pPr>
        <w:keepNext/>
        <w:spacing w:line="240" w:lineRule="auto"/>
        <w:outlineLvl w:val="0"/>
        <w:rPr>
          <w:rFonts w:cs="Arial"/>
          <w:bCs/>
        </w:rPr>
      </w:pPr>
      <w:r>
        <w:rPr>
          <w:rFonts w:cs="Arial"/>
          <w:bCs/>
        </w:rPr>
        <w:t xml:space="preserve">Podział środków Funduszu Pracy na realizację projektów współfinansowanych z EFS+ w ramach Działania 5.2 FEP 2021-2027 na samorządy powiatowe województwa pomorskiego na rok 2023 – Uchwała nr 307/439/23 Zarządu Województwa Pomorskiego z dnia 23 marca 2023 r. </w:t>
      </w:r>
    </w:p>
    <w:p w:rsidR="004C6711" w:rsidRPr="00D758D3" w:rsidRDefault="004C6711" w:rsidP="004C6711">
      <w:pPr>
        <w:keepNext/>
        <w:spacing w:line="240" w:lineRule="auto"/>
        <w:outlineLvl w:val="0"/>
        <w:rPr>
          <w:rFonts w:cs="Arial"/>
          <w:bCs/>
        </w:rPr>
      </w:pPr>
    </w:p>
    <w:p w:rsidR="004C6711" w:rsidRPr="001D26F6" w:rsidRDefault="004C6711" w:rsidP="004C6711">
      <w:pPr>
        <w:pStyle w:val="Nagwek1"/>
        <w:rPr>
          <w:rStyle w:val="TytuZnak"/>
          <w:b/>
        </w:rPr>
      </w:pPr>
      <w:r w:rsidRPr="001D26F6">
        <w:rPr>
          <w:rStyle w:val="Nagwek1Znak"/>
        </w:rPr>
        <w:t>Uchwała Nr</w:t>
      </w:r>
      <w:r>
        <w:rPr>
          <w:rStyle w:val="Nagwek1Znak"/>
        </w:rPr>
        <w:t xml:space="preserve"> 307/439</w:t>
      </w:r>
      <w:r w:rsidRPr="001D26F6">
        <w:rPr>
          <w:rStyle w:val="Nagwek1Znak"/>
        </w:rPr>
        <w:t>/23</w:t>
      </w:r>
      <w:r w:rsidRPr="001D26F6">
        <w:rPr>
          <w:rStyle w:val="Nagwek1Znak"/>
        </w:rPr>
        <w:br/>
      </w:r>
      <w:r w:rsidRPr="001D26F6">
        <w:t>Zarządu Województwa Pomorskiego</w:t>
      </w:r>
      <w:r w:rsidRPr="001D26F6">
        <w:br/>
        <w:t>z dnia</w:t>
      </w:r>
      <w:r>
        <w:t xml:space="preserve"> 23 </w:t>
      </w:r>
      <w:r w:rsidRPr="001D26F6">
        <w:t>marca 2023 r</w:t>
      </w:r>
      <w:r>
        <w:t>oku</w:t>
      </w:r>
    </w:p>
    <w:p w:rsidR="004C6711" w:rsidRPr="001239B3" w:rsidRDefault="004C6711" w:rsidP="004C6711">
      <w:pPr>
        <w:pStyle w:val="Zarzdzeniewsprwie"/>
      </w:pPr>
      <w:bookmarkStart w:id="0" w:name="_Hlk61278898"/>
      <w:r w:rsidRPr="001239B3">
        <w:t>w sprawie przyjęcia podziału środków Funduszu Pracy na finansowanie przez powiaty z województwa pomorskiego programów na rzecz promocji zatrudnienia, łagodzenia skutków bezrobocia i aktywizacji zawodowej, projektów współfinansowanych z Europejskiego Funduszu Społecznego oraz innych fakultatywnych zadań w 2023 r.</w:t>
      </w:r>
    </w:p>
    <w:bookmarkEnd w:id="0"/>
    <w:p w:rsidR="004C6711" w:rsidRPr="00D763CC" w:rsidRDefault="004C6711" w:rsidP="004C6711">
      <w:pPr>
        <w:pStyle w:val="Nagwek2"/>
        <w:spacing w:before="0" w:after="240"/>
        <w:jc w:val="left"/>
        <w:rPr>
          <w:rStyle w:val="Nagwek2Znak"/>
          <w:iCs/>
          <w:sz w:val="22"/>
          <w:szCs w:val="22"/>
        </w:rPr>
      </w:pPr>
      <w:r w:rsidRPr="00D763CC">
        <w:rPr>
          <w:rStyle w:val="Nagwek2Znak"/>
          <w:sz w:val="22"/>
          <w:szCs w:val="22"/>
        </w:rPr>
        <w:t>Na podstawie art. 41 ust.1 ustawy z dnia 5 czerwca 1998 r. o samorządzie województwa (Dz. U. z 2022 r. poz. 2094), art. 109 ust. 2a, art. 109 ust. 8 ustawy z dnia</w:t>
      </w:r>
      <w:r>
        <w:rPr>
          <w:rStyle w:val="Nagwek2Znak"/>
          <w:sz w:val="22"/>
          <w:szCs w:val="22"/>
        </w:rPr>
        <w:t xml:space="preserve"> </w:t>
      </w:r>
      <w:r w:rsidRPr="00D763CC">
        <w:rPr>
          <w:rStyle w:val="Nagwek2Znak"/>
          <w:sz w:val="22"/>
          <w:szCs w:val="22"/>
        </w:rPr>
        <w:t>20 kwietnia 2004 r. o promocji zatrudnienia i instytucjach rynku pracy (</w:t>
      </w:r>
      <w:bookmarkStart w:id="1" w:name="_Hlk130212529"/>
      <w:r w:rsidRPr="00D763CC">
        <w:rPr>
          <w:rStyle w:val="Nagwek2Znak"/>
          <w:sz w:val="22"/>
          <w:szCs w:val="22"/>
        </w:rPr>
        <w:t>Dz. U. z 2022 r. poz. 690 z</w:t>
      </w:r>
      <w:r>
        <w:rPr>
          <w:rStyle w:val="Nagwek2Znak"/>
          <w:sz w:val="22"/>
          <w:szCs w:val="22"/>
        </w:rPr>
        <w:t xml:space="preserve">e </w:t>
      </w:r>
      <w:r w:rsidRPr="00D763CC">
        <w:rPr>
          <w:rStyle w:val="Nagwek2Znak"/>
          <w:sz w:val="22"/>
          <w:szCs w:val="22"/>
        </w:rPr>
        <w:t>zm</w:t>
      </w:r>
      <w:bookmarkEnd w:id="1"/>
      <w:r w:rsidRPr="00D763CC">
        <w:rPr>
          <w:rStyle w:val="Nagwek2Znak"/>
          <w:sz w:val="22"/>
          <w:szCs w:val="22"/>
        </w:rPr>
        <w:t>.</w:t>
      </w:r>
      <w:r>
        <w:rPr>
          <w:rStyle w:val="Odwoanieprzypisudolnego"/>
          <w:b w:val="0"/>
          <w:bCs w:val="0"/>
          <w:sz w:val="22"/>
          <w:szCs w:val="22"/>
        </w:rPr>
        <w:footnoteReference w:id="1"/>
      </w:r>
      <w:r w:rsidRPr="00D763CC">
        <w:rPr>
          <w:rStyle w:val="Nagwek2Znak"/>
          <w:sz w:val="22"/>
          <w:szCs w:val="22"/>
        </w:rPr>
        <w:t xml:space="preserve">), § 2 ust. 1 pkt 1 i 2, § 3 ust. 3 </w:t>
      </w:r>
      <w:r>
        <w:rPr>
          <w:rStyle w:val="Nagwek2Znak"/>
          <w:sz w:val="22"/>
          <w:szCs w:val="22"/>
        </w:rPr>
        <w:t>R</w:t>
      </w:r>
      <w:r w:rsidRPr="00D763CC">
        <w:rPr>
          <w:rStyle w:val="Nagwek2Znak"/>
          <w:sz w:val="22"/>
          <w:szCs w:val="22"/>
        </w:rPr>
        <w:t>ozporządzenia Rady Ministrów z dnia 25 sierpnia 2014 r. w sprawie algorytmu ustalania kwot środków Funduszu Pracy na finansowanie zadań w województwie (Dz. U. z 2014 r. poz. 1294) oraz § 1 Uchwały nr 933/XLIV/14 Sejmiku Województwa Pomorskiego z dnia 27 października 2014 r. w sprawie przyjęcia Kryteriów podziału środków Funduszu Pracy na finansowanie przez samorządy powiatowe województwa pomorskiego programów na rzecz promocji zatrudnienia, łagodzenia skutków bezrobocia i aktywizacji zawodowej oraz innych fakultatywnych zadań</w:t>
      </w:r>
      <w:r>
        <w:rPr>
          <w:rStyle w:val="Nagwek2Znak"/>
          <w:sz w:val="22"/>
          <w:szCs w:val="22"/>
        </w:rPr>
        <w:t>,</w:t>
      </w:r>
      <w:r w:rsidRPr="00D763CC">
        <w:rPr>
          <w:rStyle w:val="Nagwek2Znak"/>
          <w:sz w:val="22"/>
          <w:szCs w:val="22"/>
        </w:rPr>
        <w:t xml:space="preserve"> uchwala się co następuje:</w:t>
      </w:r>
    </w:p>
    <w:p w:rsidR="004C6711" w:rsidRPr="001239B3" w:rsidRDefault="004C6711" w:rsidP="004C6711">
      <w:pPr>
        <w:pStyle w:val="Nagwek2"/>
        <w:rPr>
          <w:rStyle w:val="Nagwek2Znak"/>
          <w:b/>
          <w:bCs/>
          <w:iCs/>
          <w:szCs w:val="24"/>
        </w:rPr>
      </w:pPr>
      <w:r w:rsidRPr="001239B3">
        <w:rPr>
          <w:rStyle w:val="Nagwek2Znak"/>
          <w:szCs w:val="24"/>
        </w:rPr>
        <w:t>§ 1.</w:t>
      </w:r>
    </w:p>
    <w:p w:rsidR="004C6711" w:rsidRPr="001239B3" w:rsidRDefault="004C6711" w:rsidP="004C6711">
      <w:pPr>
        <w:autoSpaceDE w:val="0"/>
        <w:autoSpaceDN w:val="0"/>
        <w:adjustRightInd w:val="0"/>
        <w:rPr>
          <w:rFonts w:cs="Arial"/>
          <w:bCs/>
        </w:rPr>
      </w:pPr>
      <w:r w:rsidRPr="001239B3">
        <w:rPr>
          <w:rFonts w:cs="Arial"/>
        </w:rPr>
        <w:t>Ustala</w:t>
      </w:r>
      <w:r w:rsidRPr="001239B3">
        <w:rPr>
          <w:rFonts w:cs="Arial"/>
          <w:bCs/>
        </w:rPr>
        <w:t xml:space="preserve"> się podział środków Funduszu Pracy (FP) w łącznej wysokości</w:t>
      </w:r>
      <w:r>
        <w:rPr>
          <w:rFonts w:cs="Arial"/>
          <w:bCs/>
        </w:rPr>
        <w:t xml:space="preserve"> 173 608 306,56</w:t>
      </w:r>
      <w:r w:rsidRPr="001239B3">
        <w:rPr>
          <w:rFonts w:cs="Arial"/>
          <w:bCs/>
        </w:rPr>
        <w:t> zł</w:t>
      </w:r>
      <w:r>
        <w:rPr>
          <w:rFonts w:cs="Arial"/>
          <w:bCs/>
        </w:rPr>
        <w:t xml:space="preserve"> </w:t>
      </w:r>
      <w:r w:rsidRPr="001239B3">
        <w:rPr>
          <w:rFonts w:cs="Arial"/>
          <w:bCs/>
        </w:rPr>
        <w:t>przyznanych na realizację następujących zadań przez samorządy powiatowe:</w:t>
      </w:r>
    </w:p>
    <w:p w:rsidR="004C6711" w:rsidRPr="001239B3" w:rsidRDefault="004C6711" w:rsidP="004C6711">
      <w:pPr>
        <w:pStyle w:val="Akapitzlist"/>
        <w:numPr>
          <w:ilvl w:val="0"/>
          <w:numId w:val="4"/>
        </w:numPr>
        <w:tabs>
          <w:tab w:val="left" w:pos="426"/>
        </w:tabs>
        <w:autoSpaceDE w:val="0"/>
        <w:autoSpaceDN w:val="0"/>
        <w:adjustRightInd w:val="0"/>
        <w:spacing w:after="120"/>
        <w:ind w:left="426" w:hanging="426"/>
        <w:rPr>
          <w:rFonts w:cs="Arial"/>
        </w:rPr>
      </w:pPr>
      <w:r w:rsidRPr="001239B3">
        <w:rPr>
          <w:rFonts w:cs="Arial"/>
          <w:spacing w:val="-4"/>
        </w:rPr>
        <w:t>programów</w:t>
      </w:r>
      <w:r w:rsidRPr="001239B3">
        <w:rPr>
          <w:rFonts w:cs="Arial"/>
          <w:bCs/>
        </w:rPr>
        <w:t xml:space="preserve"> na rzecz </w:t>
      </w:r>
      <w:r w:rsidRPr="001239B3">
        <w:rPr>
          <w:rFonts w:cs="Arial"/>
        </w:rPr>
        <w:t>promocji zatrudnienia, łagodzenia skutków bezrobocia</w:t>
      </w:r>
      <w:r>
        <w:rPr>
          <w:rFonts w:cs="Arial"/>
        </w:rPr>
        <w:t xml:space="preserve"> </w:t>
      </w:r>
      <w:r w:rsidRPr="001239B3">
        <w:rPr>
          <w:rFonts w:cs="Arial"/>
        </w:rPr>
        <w:t>i</w:t>
      </w:r>
      <w:r>
        <w:rPr>
          <w:rFonts w:cs="Arial"/>
        </w:rPr>
        <w:t> </w:t>
      </w:r>
      <w:r w:rsidRPr="001239B3">
        <w:rPr>
          <w:rFonts w:cs="Arial"/>
        </w:rPr>
        <w:t>aktywizacji zawodowej (</w:t>
      </w:r>
      <w:r w:rsidRPr="001239B3">
        <w:rPr>
          <w:rFonts w:cs="Arial"/>
          <w:bCs/>
        </w:rPr>
        <w:t>§ 2 ust. 1 pkt 1 rozporządzenia Rady Ministrów w</w:t>
      </w:r>
      <w:r>
        <w:rPr>
          <w:rFonts w:cs="Arial"/>
          <w:bCs/>
        </w:rPr>
        <w:t> </w:t>
      </w:r>
      <w:r w:rsidRPr="001239B3">
        <w:rPr>
          <w:rFonts w:cs="Arial"/>
          <w:bCs/>
        </w:rPr>
        <w:t>sprawie algorytmu ustalania kwot środków FP na finansowanie zadań</w:t>
      </w:r>
      <w:r>
        <w:rPr>
          <w:rFonts w:cs="Arial"/>
          <w:bCs/>
        </w:rPr>
        <w:t xml:space="preserve"> </w:t>
      </w:r>
      <w:r w:rsidRPr="001239B3">
        <w:rPr>
          <w:rFonts w:cs="Arial"/>
          <w:bCs/>
        </w:rPr>
        <w:t>w</w:t>
      </w:r>
      <w:r>
        <w:rPr>
          <w:rFonts w:cs="Arial"/>
          <w:bCs/>
        </w:rPr>
        <w:t> </w:t>
      </w:r>
      <w:r w:rsidRPr="001239B3">
        <w:rPr>
          <w:rFonts w:cs="Arial"/>
          <w:bCs/>
        </w:rPr>
        <w:t>województwie</w:t>
      </w:r>
      <w:r w:rsidRPr="001239B3">
        <w:rPr>
          <w:rFonts w:cs="Arial"/>
        </w:rPr>
        <w:t xml:space="preserve">): </w:t>
      </w:r>
      <w:r>
        <w:rPr>
          <w:rFonts w:cs="Arial"/>
        </w:rPr>
        <w:t>162 865 763,10</w:t>
      </w:r>
      <w:r w:rsidRPr="001239B3">
        <w:rPr>
          <w:rFonts w:cs="Arial"/>
        </w:rPr>
        <w:t xml:space="preserve"> zł;</w:t>
      </w:r>
    </w:p>
    <w:p w:rsidR="008F5242" w:rsidRPr="008F5242" w:rsidRDefault="008F5242" w:rsidP="00FB1502">
      <w:pPr>
        <w:tabs>
          <w:tab w:val="left" w:pos="1544"/>
        </w:tabs>
        <w:rPr>
          <w:rFonts w:asciiTheme="minorHAnsi" w:hAnsiTheme="minorHAnsi" w:cstheme="minorHAnsi"/>
        </w:rPr>
      </w:pPr>
    </w:p>
    <w:p w:rsidR="004C6711" w:rsidRPr="004C6711" w:rsidRDefault="004C6711" w:rsidP="004C6711">
      <w:pPr>
        <w:numPr>
          <w:ilvl w:val="0"/>
          <w:numId w:val="4"/>
        </w:numPr>
        <w:tabs>
          <w:tab w:val="left" w:pos="426"/>
        </w:tabs>
        <w:autoSpaceDE w:val="0"/>
        <w:autoSpaceDN w:val="0"/>
        <w:adjustRightInd w:val="0"/>
        <w:spacing w:after="120"/>
        <w:ind w:left="426" w:hanging="426"/>
        <w:contextualSpacing/>
        <w:rPr>
          <w:rFonts w:cs="Arial"/>
          <w:spacing w:val="-4"/>
        </w:rPr>
      </w:pPr>
      <w:r w:rsidRPr="004C6711">
        <w:rPr>
          <w:rFonts w:cs="Arial"/>
          <w:spacing w:val="-4"/>
        </w:rPr>
        <w:lastRenderedPageBreak/>
        <w:t>innych fakultatywnych zadań (</w:t>
      </w:r>
      <w:r w:rsidRPr="004C6711">
        <w:rPr>
          <w:rFonts w:cs="Arial"/>
          <w:bCs/>
          <w:spacing w:val="-4"/>
        </w:rPr>
        <w:t>§ 2 ust. 1 pkt 2 rozporządzenia Rady Ministrów                        w sprawie algorytmu ustalania kwot środków FP na finansowanie zadań                                    w województwie</w:t>
      </w:r>
      <w:r w:rsidRPr="004C6711">
        <w:rPr>
          <w:rFonts w:cs="Arial"/>
          <w:spacing w:val="-4"/>
        </w:rPr>
        <w:t>): 10 742 543,46 zł.</w:t>
      </w:r>
    </w:p>
    <w:p w:rsidR="004C6711" w:rsidRPr="004C6711" w:rsidRDefault="004C6711" w:rsidP="004C6711">
      <w:pPr>
        <w:tabs>
          <w:tab w:val="left" w:pos="426"/>
        </w:tabs>
        <w:autoSpaceDE w:val="0"/>
        <w:autoSpaceDN w:val="0"/>
        <w:adjustRightInd w:val="0"/>
        <w:spacing w:after="120"/>
        <w:ind w:left="426"/>
        <w:contextualSpacing/>
        <w:rPr>
          <w:rFonts w:cs="Arial"/>
          <w:spacing w:val="-4"/>
        </w:rPr>
      </w:pPr>
    </w:p>
    <w:p w:rsidR="004C6711" w:rsidRPr="004C6711" w:rsidRDefault="004C6711" w:rsidP="004C6711">
      <w:pPr>
        <w:keepNext/>
        <w:spacing w:after="120"/>
        <w:jc w:val="center"/>
        <w:outlineLvl w:val="1"/>
        <w:rPr>
          <w:rFonts w:cs="Arial"/>
          <w:b/>
          <w:bCs/>
          <w:iCs/>
        </w:rPr>
      </w:pPr>
      <w:r w:rsidRPr="004C6711">
        <w:rPr>
          <w:rFonts w:cs="Arial"/>
          <w:b/>
          <w:bCs/>
          <w:iCs/>
        </w:rPr>
        <w:t>§ 2.</w:t>
      </w:r>
    </w:p>
    <w:p w:rsidR="004C6711" w:rsidRPr="004C6711" w:rsidRDefault="004C6711" w:rsidP="004C6711">
      <w:pPr>
        <w:autoSpaceDE w:val="0"/>
        <w:autoSpaceDN w:val="0"/>
        <w:adjustRightInd w:val="0"/>
        <w:spacing w:after="120"/>
        <w:rPr>
          <w:rFonts w:cs="Arial"/>
          <w:bCs/>
        </w:rPr>
      </w:pPr>
      <w:r w:rsidRPr="004C6711">
        <w:rPr>
          <w:rFonts w:cs="Arial"/>
          <w:bCs/>
        </w:rPr>
        <w:t xml:space="preserve">W ramach limitu </w:t>
      </w:r>
      <w:r w:rsidRPr="004C6711">
        <w:rPr>
          <w:rFonts w:cs="Arial"/>
        </w:rPr>
        <w:t>określonego</w:t>
      </w:r>
      <w:r w:rsidRPr="004C6711">
        <w:rPr>
          <w:rFonts w:cs="Arial"/>
          <w:bCs/>
        </w:rPr>
        <w:t xml:space="preserve"> w § 1 pkt 1 ustala się następujący podział kwoty na realizację:</w:t>
      </w:r>
    </w:p>
    <w:p w:rsidR="004C6711" w:rsidRPr="004C6711" w:rsidRDefault="004C6711" w:rsidP="004C6711">
      <w:pPr>
        <w:numPr>
          <w:ilvl w:val="0"/>
          <w:numId w:val="5"/>
        </w:numPr>
        <w:tabs>
          <w:tab w:val="left" w:pos="426"/>
        </w:tabs>
        <w:autoSpaceDE w:val="0"/>
        <w:autoSpaceDN w:val="0"/>
        <w:adjustRightInd w:val="0"/>
        <w:spacing w:after="120"/>
        <w:ind w:left="426" w:hanging="426"/>
        <w:contextualSpacing/>
        <w:rPr>
          <w:rFonts w:cs="Arial"/>
          <w:bCs/>
        </w:rPr>
      </w:pPr>
      <w:r w:rsidRPr="004C6711">
        <w:rPr>
          <w:rFonts w:cs="Arial"/>
        </w:rPr>
        <w:t xml:space="preserve">programów na rzecz promocji zatrudnienia, łagodzenia skutków bezrobocia i aktywizacji zawodowej: 127 501 224,10 zł, w tym </w:t>
      </w:r>
      <w:r w:rsidRPr="004C6711">
        <w:rPr>
          <w:rFonts w:cs="Arial"/>
          <w:bCs/>
        </w:rPr>
        <w:t xml:space="preserve">programów </w:t>
      </w:r>
      <w:r w:rsidRPr="004C6711">
        <w:rPr>
          <w:rFonts w:cs="Arial"/>
        </w:rPr>
        <w:t>regionalnych</w:t>
      </w:r>
      <w:r w:rsidRPr="004C6711">
        <w:rPr>
          <w:rFonts w:cs="Arial"/>
          <w:bCs/>
        </w:rPr>
        <w:t>: 8 000 000,00 zł;</w:t>
      </w:r>
    </w:p>
    <w:p w:rsidR="004C6711" w:rsidRPr="004C6711" w:rsidRDefault="004C6711" w:rsidP="004C6711">
      <w:pPr>
        <w:numPr>
          <w:ilvl w:val="0"/>
          <w:numId w:val="5"/>
        </w:numPr>
        <w:tabs>
          <w:tab w:val="left" w:pos="426"/>
        </w:tabs>
        <w:autoSpaceDE w:val="0"/>
        <w:autoSpaceDN w:val="0"/>
        <w:adjustRightInd w:val="0"/>
        <w:spacing w:after="120"/>
        <w:ind w:left="426" w:hanging="426"/>
        <w:contextualSpacing/>
        <w:rPr>
          <w:rFonts w:cs="Arial"/>
          <w:bCs/>
        </w:rPr>
      </w:pPr>
      <w:r w:rsidRPr="004C6711">
        <w:rPr>
          <w:rFonts w:cs="Arial"/>
          <w:bCs/>
        </w:rPr>
        <w:t>projektów współfinansowanych z Europejskiego Funduszu Społecznego: 35 364 539,00 zł.</w:t>
      </w:r>
    </w:p>
    <w:p w:rsidR="004C6711" w:rsidRPr="004C6711" w:rsidRDefault="004C6711" w:rsidP="004C6711">
      <w:pPr>
        <w:tabs>
          <w:tab w:val="left" w:pos="426"/>
        </w:tabs>
        <w:autoSpaceDE w:val="0"/>
        <w:autoSpaceDN w:val="0"/>
        <w:adjustRightInd w:val="0"/>
        <w:spacing w:after="120"/>
        <w:ind w:left="426"/>
        <w:contextualSpacing/>
        <w:rPr>
          <w:rFonts w:cs="Arial"/>
          <w:bCs/>
        </w:rPr>
      </w:pPr>
    </w:p>
    <w:p w:rsidR="004C6711" w:rsidRPr="004C6711" w:rsidRDefault="004C6711" w:rsidP="004C6711">
      <w:pPr>
        <w:keepNext/>
        <w:spacing w:after="120"/>
        <w:jc w:val="center"/>
        <w:outlineLvl w:val="1"/>
        <w:rPr>
          <w:rFonts w:cs="Arial"/>
          <w:b/>
          <w:bCs/>
          <w:iCs/>
        </w:rPr>
      </w:pPr>
      <w:r w:rsidRPr="004C6711">
        <w:rPr>
          <w:rFonts w:cs="Arial"/>
          <w:b/>
          <w:bCs/>
          <w:iCs/>
        </w:rPr>
        <w:t>§ 3.</w:t>
      </w:r>
    </w:p>
    <w:p w:rsidR="004C6711" w:rsidRPr="004C6711" w:rsidRDefault="004C6711" w:rsidP="004C6711">
      <w:pPr>
        <w:spacing w:after="120"/>
        <w:rPr>
          <w:rFonts w:cs="Arial"/>
          <w:bCs/>
        </w:rPr>
      </w:pPr>
      <w:r w:rsidRPr="004C6711">
        <w:rPr>
          <w:rFonts w:cs="Arial"/>
        </w:rPr>
        <w:t xml:space="preserve">Szczegółowy podział kwot, o których mowa w </w:t>
      </w:r>
      <w:r w:rsidRPr="004C6711">
        <w:rPr>
          <w:rFonts w:cs="Arial"/>
          <w:bCs/>
        </w:rPr>
        <w:t xml:space="preserve">§ 1 oraz § 2, </w:t>
      </w:r>
      <w:r w:rsidRPr="004C6711">
        <w:rPr>
          <w:rFonts w:cs="Arial"/>
        </w:rPr>
        <w:t>stanowi załącznik do uchwały</w:t>
      </w:r>
      <w:r w:rsidRPr="004C6711">
        <w:rPr>
          <w:rFonts w:cs="Arial"/>
          <w:bCs/>
        </w:rPr>
        <w:t>.</w:t>
      </w:r>
    </w:p>
    <w:p w:rsidR="004C6711" w:rsidRPr="004C6711" w:rsidRDefault="004C6711" w:rsidP="004C6711">
      <w:pPr>
        <w:keepNext/>
        <w:spacing w:after="120"/>
        <w:jc w:val="center"/>
        <w:outlineLvl w:val="1"/>
        <w:rPr>
          <w:rFonts w:cs="Arial"/>
          <w:bCs/>
          <w:iCs/>
        </w:rPr>
      </w:pPr>
      <w:r w:rsidRPr="004C6711">
        <w:rPr>
          <w:rFonts w:cs="Arial"/>
          <w:b/>
          <w:bCs/>
          <w:iCs/>
        </w:rPr>
        <w:t>§ 4.</w:t>
      </w:r>
    </w:p>
    <w:p w:rsidR="004C6711" w:rsidRPr="004C6711" w:rsidRDefault="004C6711" w:rsidP="004C6711">
      <w:pPr>
        <w:keepNext/>
        <w:spacing w:after="120"/>
        <w:outlineLvl w:val="1"/>
        <w:rPr>
          <w:rFonts w:cs="Arial"/>
          <w:iCs/>
        </w:rPr>
      </w:pPr>
      <w:r w:rsidRPr="004C6711">
        <w:rPr>
          <w:rFonts w:cs="Arial"/>
          <w:iCs/>
        </w:rPr>
        <w:t xml:space="preserve">Traci moc Uchwała Nr </w:t>
      </w:r>
      <w:bookmarkStart w:id="2" w:name="_Hlk130212624"/>
      <w:r w:rsidRPr="004C6711">
        <w:rPr>
          <w:rFonts w:cs="Arial"/>
          <w:iCs/>
        </w:rPr>
        <w:t xml:space="preserve">1253/414/22 </w:t>
      </w:r>
      <w:bookmarkEnd w:id="2"/>
      <w:r w:rsidRPr="004C6711">
        <w:rPr>
          <w:rFonts w:cs="Arial"/>
          <w:iCs/>
        </w:rPr>
        <w:t>Zarządu Województwa Pomorskiego z dnia 20 grudnia 2022r.</w:t>
      </w:r>
      <w:r w:rsidRPr="004C6711">
        <w:rPr>
          <w:rFonts w:cs="Arial"/>
          <w:i/>
          <w:iCs/>
        </w:rPr>
        <w:t xml:space="preserve"> </w:t>
      </w:r>
      <w:r w:rsidRPr="004C6711">
        <w:rPr>
          <w:rFonts w:cs="Arial"/>
          <w:iCs/>
        </w:rPr>
        <w:t>w sprawie przyjęcia podziału środków Funduszu Pracy na finansowanie przez powiaty z województwa pomorskiego programów na rzecz promocji zatrudnienia, łagodzenia skutków bezrobocia i aktywizacji zawodowej, projektów współfinansowanych z Europejskiego Funduszu Społecznego oraz innych fakultatywnych zadań w 2023 r.</w:t>
      </w:r>
    </w:p>
    <w:p w:rsidR="004C6711" w:rsidRPr="004C6711" w:rsidRDefault="004C6711" w:rsidP="004C6711">
      <w:pPr>
        <w:keepNext/>
        <w:spacing w:after="120"/>
        <w:jc w:val="center"/>
        <w:outlineLvl w:val="1"/>
        <w:rPr>
          <w:rFonts w:cs="Arial"/>
          <w:b/>
          <w:bCs/>
          <w:iCs/>
        </w:rPr>
      </w:pPr>
      <w:r w:rsidRPr="004C6711">
        <w:rPr>
          <w:rFonts w:cs="Arial"/>
          <w:b/>
          <w:bCs/>
          <w:iCs/>
        </w:rPr>
        <w:t>§ 5.</w:t>
      </w:r>
    </w:p>
    <w:p w:rsidR="004C6711" w:rsidRPr="004C6711" w:rsidRDefault="004C6711" w:rsidP="004C6711">
      <w:pPr>
        <w:spacing w:after="120"/>
        <w:rPr>
          <w:rFonts w:cs="Arial"/>
        </w:rPr>
      </w:pPr>
      <w:r w:rsidRPr="004C6711">
        <w:rPr>
          <w:rFonts w:cs="Arial"/>
        </w:rPr>
        <w:t>Uchwała wchodzi w życie z dniem podjęcia.</w:t>
      </w:r>
    </w:p>
    <w:p w:rsidR="004C6711" w:rsidRPr="004C6711" w:rsidRDefault="004C6711" w:rsidP="004C6711">
      <w:pPr>
        <w:spacing w:before="120" w:after="120"/>
        <w:ind w:left="4395"/>
        <w:rPr>
          <w:rFonts w:cs="Arial"/>
          <w:szCs w:val="20"/>
        </w:rPr>
      </w:pPr>
      <w:r w:rsidRPr="004C6711">
        <w:rPr>
          <w:rFonts w:cs="Arial"/>
          <w:szCs w:val="20"/>
        </w:rPr>
        <w:br w:type="page"/>
      </w:r>
    </w:p>
    <w:p w:rsidR="004C6711" w:rsidRPr="004C6711" w:rsidRDefault="004C6711" w:rsidP="004C6711">
      <w:pPr>
        <w:keepNext/>
        <w:spacing w:before="240" w:after="120"/>
        <w:jc w:val="center"/>
        <w:outlineLvl w:val="1"/>
        <w:rPr>
          <w:rFonts w:cs="Arial"/>
          <w:b/>
          <w:bCs/>
          <w:iCs/>
          <w:szCs w:val="28"/>
        </w:rPr>
      </w:pPr>
      <w:r w:rsidRPr="004C6711">
        <w:rPr>
          <w:rFonts w:eastAsiaTheme="majorEastAsia" w:cs="Arial"/>
          <w:b/>
          <w:bCs/>
          <w:iCs/>
          <w:szCs w:val="28"/>
        </w:rPr>
        <w:lastRenderedPageBreak/>
        <w:t>Uzasadnienie</w:t>
      </w:r>
    </w:p>
    <w:p w:rsidR="004C6711" w:rsidRPr="004C6711" w:rsidRDefault="004C6711" w:rsidP="004C6711">
      <w:pPr>
        <w:autoSpaceDE w:val="0"/>
        <w:autoSpaceDN w:val="0"/>
        <w:adjustRightInd w:val="0"/>
        <w:spacing w:before="120" w:after="120"/>
        <w:rPr>
          <w:rFonts w:cs="Arial"/>
        </w:rPr>
      </w:pPr>
      <w:bookmarkStart w:id="3" w:name="_Załącznik_nr_2"/>
      <w:bookmarkEnd w:id="3"/>
      <w:r w:rsidRPr="004C6711">
        <w:rPr>
          <w:rFonts w:cs="Arial"/>
        </w:rPr>
        <w:t xml:space="preserve">Zgodnie z art. 109 ust. 8 ustawy o promocji zatrudnienia i instytucjach rynku pracy (Dz. U. z 2022 r. poz. 690 z </w:t>
      </w:r>
      <w:proofErr w:type="spellStart"/>
      <w:r w:rsidRPr="004C6711">
        <w:rPr>
          <w:rFonts w:cs="Arial"/>
        </w:rPr>
        <w:t>późn</w:t>
      </w:r>
      <w:proofErr w:type="spellEnd"/>
      <w:r w:rsidRPr="004C6711">
        <w:rPr>
          <w:rFonts w:cs="Arial"/>
        </w:rPr>
        <w:t>. zm.) Zarząd Województwa Pomorskiego (ZWP) ustala wielkości kwot środków Funduszu Pracy dla powiatów z przeznaczeniem na finansowanie programów na rzecz promocji zatrudnienia, łagodzenia skutków bezrobocia i aktywizacji zawodowej, projektów współfinansowanych z EFS oraz innych fakultatywnych zadań.</w:t>
      </w:r>
    </w:p>
    <w:p w:rsidR="004C6711" w:rsidRPr="004C6711" w:rsidRDefault="004C6711" w:rsidP="004C6711">
      <w:pPr>
        <w:autoSpaceDE w:val="0"/>
        <w:autoSpaceDN w:val="0"/>
        <w:adjustRightInd w:val="0"/>
        <w:spacing w:before="120" w:after="120"/>
        <w:rPr>
          <w:rFonts w:cs="Arial"/>
        </w:rPr>
      </w:pPr>
      <w:r w:rsidRPr="004C6711">
        <w:rPr>
          <w:rFonts w:cs="Arial"/>
        </w:rPr>
        <w:t>Podział kwot Funduszu Pracy na poszczególne powiaty dokonany został na podstawie Kryteriów podziału środków Funduszu Pracy na finansowanie przez samorządy powiatowe województwa pomorskiego programów na rzecz promocji zatrudnienia, łagodzenia skutków bezrobocia i aktywizacji zawodowej oraz innych fakultatywnych zadań przyjętych uchwałą nr 933/XLIV/14 Sejmiku Województwa Pomorskiego z dnia 27 października 2014 r.</w:t>
      </w:r>
    </w:p>
    <w:p w:rsidR="004C6711" w:rsidRPr="004C6711" w:rsidRDefault="004C6711" w:rsidP="004C6711">
      <w:pPr>
        <w:autoSpaceDE w:val="0"/>
        <w:autoSpaceDN w:val="0"/>
        <w:adjustRightInd w:val="0"/>
        <w:spacing w:before="120" w:after="120"/>
        <w:rPr>
          <w:rFonts w:cs="Arial"/>
          <w:spacing w:val="-6"/>
        </w:rPr>
      </w:pPr>
      <w:r w:rsidRPr="004C6711">
        <w:rPr>
          <w:rFonts w:cs="Arial"/>
        </w:rPr>
        <w:t>Podział środków</w:t>
      </w:r>
      <w:r w:rsidRPr="004C6711">
        <w:rPr>
          <w:rFonts w:cs="Arial"/>
          <w:spacing w:val="-6"/>
        </w:rPr>
        <w:t xml:space="preserve"> FP ujęty w Uchwale ZWP nr 1253/414/22 wynikał z zawiadomienia Ministra Rodziny i Polityki Społecznej </w:t>
      </w:r>
      <w:r w:rsidRPr="004C6711">
        <w:rPr>
          <w:rFonts w:cs="Arial"/>
        </w:rPr>
        <w:t xml:space="preserve">znak DF-I.6020.35.10.2022.JC z 28 listopada 2022 r. </w:t>
      </w:r>
      <w:r w:rsidRPr="004C6711">
        <w:rPr>
          <w:rFonts w:cs="Arial"/>
          <w:spacing w:val="-6"/>
        </w:rPr>
        <w:t>sporządzonego na podstawie projektu planu finansowego FP zgodnie z § 4 ust. 3 i ust. 5 rozporządzenia Ministra Pracy i Polityki Społecznej z 7 października 2011 r. w sprawie szczegółowych zasad gospodarki finansowej FP (Dz. U. z 2016 r., poz. 472). Podział na podstawie wstępnej decyzji był konieczny, aby powiaty mogły podejmować działania aktywizacyjne wobec osób bezrobotnych do czasu uchwalenia budżetu państwa.</w:t>
      </w:r>
    </w:p>
    <w:p w:rsidR="004C6711" w:rsidRPr="004C6711" w:rsidRDefault="004C6711" w:rsidP="004C6711">
      <w:pPr>
        <w:autoSpaceDE w:val="0"/>
        <w:autoSpaceDN w:val="0"/>
        <w:adjustRightInd w:val="0"/>
        <w:spacing w:before="120" w:after="120"/>
        <w:rPr>
          <w:rFonts w:cs="Arial"/>
        </w:rPr>
      </w:pPr>
      <w:r w:rsidRPr="004C6711">
        <w:rPr>
          <w:rFonts w:cs="Arial"/>
          <w:spacing w:val="-6"/>
        </w:rPr>
        <w:t xml:space="preserve">Minister Rodziny i Polityki Społecznej  </w:t>
      </w:r>
      <w:r w:rsidRPr="004C6711">
        <w:rPr>
          <w:rFonts w:cs="Arial"/>
        </w:rPr>
        <w:t>po zatwierdzeniu planu finansowego zgodnie z </w:t>
      </w:r>
      <w:r w:rsidRPr="004C6711">
        <w:rPr>
          <w:rFonts w:cs="Arial"/>
          <w:spacing w:val="-6"/>
        </w:rPr>
        <w:t xml:space="preserve">§ 4 ust. 5-5b i ust. 7 oraz § 5 ust. 1 </w:t>
      </w:r>
      <w:r w:rsidRPr="004C6711">
        <w:rPr>
          <w:rFonts w:cs="Arial"/>
        </w:rPr>
        <w:t xml:space="preserve">rozporządzenia </w:t>
      </w:r>
      <w:r w:rsidRPr="004C6711">
        <w:rPr>
          <w:rFonts w:cs="Arial"/>
          <w:spacing w:val="-6"/>
        </w:rPr>
        <w:t>w sprawie szczegółowych zasad gospodarki finansowej</w:t>
      </w:r>
      <w:r w:rsidRPr="004C6711">
        <w:rPr>
          <w:rFonts w:cs="Arial"/>
        </w:rPr>
        <w:t xml:space="preserve"> FP, pismem nr DF-I.6020.35.1.2023.JC z 14 marca 2023 r. wydał ostateczną decyzję finansową dla województwa pomorskiego. W roku 2023 wysokość środków Funduszu Pracy przeznaczonych na finansowanie programów na rzecz promocji zatrudnienia, łagodzenia skutków bezrobocia i aktywizacji zawodowej dla województwa pomorskiego, wynosi </w:t>
      </w:r>
      <w:r w:rsidRPr="004C6711">
        <w:rPr>
          <w:rFonts w:cs="Arial"/>
          <w:b/>
          <w:bCs/>
        </w:rPr>
        <w:t>162 865 763,10 zł</w:t>
      </w:r>
      <w:r w:rsidRPr="004C6711">
        <w:rPr>
          <w:rFonts w:cs="Arial"/>
          <w:bCs/>
        </w:rPr>
        <w:t xml:space="preserve">. </w:t>
      </w:r>
      <w:r w:rsidRPr="004C6711">
        <w:rPr>
          <w:rFonts w:cs="Arial"/>
        </w:rPr>
        <w:t>W kwocie tej określona została wysokość środków przeznaczonych na realizację projektów współfinansowanych z Europejskiego Funduszu Społecznego w ramach programu Fundusze Europejskie dla Pomorza 2021-2027 35 364 539,00 zł, w tym:</w:t>
      </w:r>
    </w:p>
    <w:p w:rsidR="004C6711" w:rsidRPr="004C6711" w:rsidRDefault="004C6711" w:rsidP="004C6711">
      <w:pPr>
        <w:numPr>
          <w:ilvl w:val="0"/>
          <w:numId w:val="6"/>
        </w:numPr>
        <w:autoSpaceDE w:val="0"/>
        <w:autoSpaceDN w:val="0"/>
        <w:adjustRightInd w:val="0"/>
        <w:spacing w:before="120" w:after="120"/>
        <w:contextualSpacing/>
        <w:rPr>
          <w:rFonts w:cs="Arial"/>
        </w:rPr>
      </w:pPr>
      <w:r w:rsidRPr="004C6711">
        <w:rPr>
          <w:rFonts w:cs="Arial"/>
        </w:rPr>
        <w:t xml:space="preserve">kwota w części Europejskiego Funduszu Społecznego wynosi </w:t>
      </w:r>
      <w:r w:rsidRPr="004C6711">
        <w:rPr>
          <w:rFonts w:cs="Arial"/>
          <w:b/>
          <w:bCs/>
        </w:rPr>
        <w:t>30</w:t>
      </w:r>
      <w:r w:rsidRPr="004C6711">
        <w:rPr>
          <w:rFonts w:cs="Arial"/>
          <w:b/>
        </w:rPr>
        <w:t> 059 858,00 zł</w:t>
      </w:r>
      <w:r w:rsidRPr="004C6711">
        <w:rPr>
          <w:rFonts w:cs="Arial"/>
        </w:rPr>
        <w:t>,</w:t>
      </w:r>
    </w:p>
    <w:p w:rsidR="004C6711" w:rsidRPr="004C6711" w:rsidRDefault="004C6711" w:rsidP="004C6711">
      <w:pPr>
        <w:numPr>
          <w:ilvl w:val="0"/>
          <w:numId w:val="6"/>
        </w:numPr>
        <w:autoSpaceDE w:val="0"/>
        <w:autoSpaceDN w:val="0"/>
        <w:adjustRightInd w:val="0"/>
        <w:spacing w:before="120" w:after="120"/>
        <w:contextualSpacing/>
        <w:rPr>
          <w:rFonts w:cs="Arial"/>
        </w:rPr>
      </w:pPr>
      <w:r w:rsidRPr="004C6711">
        <w:rPr>
          <w:rFonts w:cs="Arial"/>
        </w:rPr>
        <w:t xml:space="preserve">kwota w części wkładu krajowego wynosi: </w:t>
      </w:r>
      <w:r w:rsidRPr="004C6711">
        <w:rPr>
          <w:rFonts w:cs="Arial"/>
          <w:b/>
        </w:rPr>
        <w:t>5 304 681,00 zł</w:t>
      </w:r>
      <w:r w:rsidRPr="004C6711">
        <w:rPr>
          <w:rFonts w:cs="Arial"/>
        </w:rPr>
        <w:t>,</w:t>
      </w:r>
    </w:p>
    <w:p w:rsidR="004C6711" w:rsidRPr="004C6711" w:rsidRDefault="004C6711" w:rsidP="004C6711">
      <w:pPr>
        <w:autoSpaceDE w:val="0"/>
        <w:autoSpaceDN w:val="0"/>
        <w:adjustRightInd w:val="0"/>
        <w:spacing w:after="120"/>
        <w:rPr>
          <w:rFonts w:cs="Arial"/>
          <w:sz w:val="20"/>
        </w:rPr>
      </w:pPr>
    </w:p>
    <w:p w:rsidR="004C6711" w:rsidRPr="004C6711" w:rsidRDefault="004C6711" w:rsidP="004C6711">
      <w:pPr>
        <w:autoSpaceDE w:val="0"/>
        <w:autoSpaceDN w:val="0"/>
        <w:adjustRightInd w:val="0"/>
        <w:spacing w:before="120" w:after="120"/>
        <w:rPr>
          <w:rFonts w:cs="Arial"/>
          <w:b/>
          <w:bCs/>
        </w:rPr>
      </w:pPr>
      <w:r w:rsidRPr="004C6711">
        <w:rPr>
          <w:rFonts w:cs="Arial"/>
        </w:rPr>
        <w:t xml:space="preserve">Kwota środków Funduszu Pracy przeznaczonych na finansowanie przez powiaty innych fakultatywnych zadań wynosi </w:t>
      </w:r>
      <w:r w:rsidRPr="004C6711">
        <w:rPr>
          <w:rFonts w:cs="Arial"/>
          <w:b/>
        </w:rPr>
        <w:t>10 742 543,46</w:t>
      </w:r>
      <w:r w:rsidRPr="004C6711">
        <w:rPr>
          <w:rFonts w:cs="Arial"/>
          <w:b/>
          <w:bCs/>
        </w:rPr>
        <w:t xml:space="preserve"> zł</w:t>
      </w:r>
      <w:r w:rsidRPr="004C6711">
        <w:rPr>
          <w:rFonts w:cs="Arial"/>
          <w:bCs/>
        </w:rPr>
        <w:t>.</w:t>
      </w:r>
    </w:p>
    <w:p w:rsidR="004C6711" w:rsidRPr="004C6711" w:rsidRDefault="004C6711" w:rsidP="004C6711">
      <w:pPr>
        <w:autoSpaceDE w:val="0"/>
        <w:autoSpaceDN w:val="0"/>
        <w:adjustRightInd w:val="0"/>
        <w:spacing w:before="120" w:after="120"/>
        <w:rPr>
          <w:rFonts w:cs="Arial"/>
        </w:rPr>
      </w:pPr>
      <w:r w:rsidRPr="004C6711">
        <w:rPr>
          <w:rFonts w:cs="Arial"/>
        </w:rPr>
        <w:t xml:space="preserve">W myśl art. 109 ust 2a ustawy o promocji zatrudnienia (…) oraz w trybie konsultacji z powiatowymi urzędami pracy przewidzianych w art. 66c ust. 7 i 8 ustalono w ramach kwoty środków (limitu) Funduszu Pracy (o której mowa w art. 109 ust. 2) na realizację programów na rzecz promocji zatrudnienia, łagodzenia skutków </w:t>
      </w:r>
      <w:r w:rsidRPr="004C6711">
        <w:rPr>
          <w:rFonts w:cs="Arial"/>
        </w:rPr>
        <w:lastRenderedPageBreak/>
        <w:t xml:space="preserve">bezrobocia i aktywizacji zawodowej kwotę </w:t>
      </w:r>
      <w:r w:rsidRPr="004C6711">
        <w:rPr>
          <w:rFonts w:cs="Arial"/>
          <w:b/>
        </w:rPr>
        <w:t>8 000 000,00 z</w:t>
      </w:r>
      <w:r w:rsidRPr="004C6711">
        <w:rPr>
          <w:rFonts w:cs="Arial"/>
        </w:rPr>
        <w:t>ł, z przeznaczeniem</w:t>
      </w:r>
      <w:r w:rsidRPr="004C6711">
        <w:rPr>
          <w:rFonts w:cs="Arial"/>
        </w:rPr>
        <w:br/>
        <w:t>na finansowanie realizacji programów regionalnych, o których mowa w art. 66c.</w:t>
      </w:r>
    </w:p>
    <w:p w:rsidR="004C6711" w:rsidRPr="004C6711" w:rsidRDefault="004C6711" w:rsidP="004C6711">
      <w:pPr>
        <w:autoSpaceDE w:val="0"/>
        <w:autoSpaceDN w:val="0"/>
        <w:adjustRightInd w:val="0"/>
        <w:spacing w:before="120" w:after="120"/>
        <w:rPr>
          <w:rFonts w:cs="Arial"/>
        </w:rPr>
      </w:pPr>
      <w:r w:rsidRPr="004C6711">
        <w:rPr>
          <w:rFonts w:cs="Arial"/>
          <w:spacing w:val="-2"/>
        </w:rPr>
        <w:t xml:space="preserve">W związku z powyższym traci moc Uchwała nr </w:t>
      </w:r>
      <w:r w:rsidRPr="004C6711">
        <w:rPr>
          <w:rFonts w:cs="Arial"/>
        </w:rPr>
        <w:t>1253/414/22 Zarządu Województwa Pomorskiego z dnia 20 grudnia 2022 r.</w:t>
      </w:r>
    </w:p>
    <w:p w:rsidR="008F5242" w:rsidRDefault="004C6711" w:rsidP="004C6711">
      <w:pPr>
        <w:tabs>
          <w:tab w:val="left" w:pos="1544"/>
        </w:tabs>
        <w:rPr>
          <w:rFonts w:cs="Arial"/>
        </w:rPr>
      </w:pPr>
      <w:r w:rsidRPr="004C6711">
        <w:rPr>
          <w:rFonts w:cs="Arial"/>
        </w:rPr>
        <w:t>Z uwagi na konieczność zawiadomienia dysponenta Funduszu Pracy – Ministra Rodziny i Polityki Społecznej o dokonanym podziale środków Funduszu Pracy dla powiatów podjęcie uchwały jest uzasadnione</w:t>
      </w: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cs="Arial"/>
        </w:rPr>
      </w:pPr>
    </w:p>
    <w:p w:rsidR="004C6711" w:rsidRDefault="004C6711" w:rsidP="004C6711">
      <w:pPr>
        <w:tabs>
          <w:tab w:val="left" w:pos="1544"/>
        </w:tabs>
        <w:rPr>
          <w:rFonts w:asciiTheme="minorHAnsi" w:hAnsiTheme="minorHAnsi" w:cstheme="minorHAnsi"/>
        </w:rPr>
        <w:sectPr w:rsidR="004C6711" w:rsidSect="00B54691">
          <w:headerReference w:type="default" r:id="rId9"/>
          <w:footerReference w:type="default" r:id="rId10"/>
          <w:headerReference w:type="first" r:id="rId11"/>
          <w:footerReference w:type="first" r:id="rId12"/>
          <w:pgSz w:w="11906" w:h="16838" w:code="9"/>
          <w:pgMar w:top="1569" w:right="1418" w:bottom="1560" w:left="1418" w:header="284" w:footer="225" w:gutter="0"/>
          <w:cols w:space="708"/>
          <w:titlePg/>
          <w:docGrid w:linePitch="360"/>
        </w:sectPr>
      </w:pPr>
    </w:p>
    <w:p w:rsidR="00B54691" w:rsidRPr="00B54691" w:rsidRDefault="00B54691" w:rsidP="00B54691">
      <w:pPr>
        <w:autoSpaceDE w:val="0"/>
        <w:autoSpaceDN w:val="0"/>
        <w:adjustRightInd w:val="0"/>
        <w:spacing w:line="240" w:lineRule="auto"/>
        <w:ind w:left="10719"/>
        <w:jc w:val="center"/>
        <w:rPr>
          <w:rFonts w:cs="Arial"/>
          <w:sz w:val="16"/>
          <w:szCs w:val="16"/>
        </w:rPr>
      </w:pPr>
      <w:r w:rsidRPr="00B54691">
        <w:rPr>
          <w:rFonts w:cs="Arial"/>
          <w:sz w:val="16"/>
          <w:szCs w:val="16"/>
        </w:rPr>
        <w:lastRenderedPageBreak/>
        <w:t xml:space="preserve">        </w:t>
      </w:r>
      <w:bookmarkStart w:id="4" w:name="_Hlk135636665"/>
      <w:r w:rsidRPr="00B54691">
        <w:rPr>
          <w:rFonts w:cs="Arial"/>
          <w:sz w:val="16"/>
          <w:szCs w:val="16"/>
        </w:rPr>
        <w:t xml:space="preserve">Załącznik do Uchwały Nr </w:t>
      </w:r>
      <w:r w:rsidRPr="00B54691">
        <w:rPr>
          <w:rFonts w:cs="Arial"/>
          <w:sz w:val="16"/>
          <w:szCs w:val="16"/>
          <w:lang w:eastAsia="en-US"/>
        </w:rPr>
        <w:t>307/439/23</w:t>
      </w:r>
    </w:p>
    <w:p w:rsidR="00B54691" w:rsidRPr="00B54691" w:rsidRDefault="00B54691" w:rsidP="00B54691">
      <w:pPr>
        <w:autoSpaceDE w:val="0"/>
        <w:autoSpaceDN w:val="0"/>
        <w:adjustRightInd w:val="0"/>
        <w:spacing w:line="240" w:lineRule="auto"/>
        <w:jc w:val="right"/>
        <w:rPr>
          <w:rFonts w:cs="Arial"/>
          <w:sz w:val="16"/>
          <w:szCs w:val="16"/>
        </w:rPr>
      </w:pPr>
      <w:r w:rsidRPr="00B54691">
        <w:rPr>
          <w:rFonts w:cs="Arial"/>
          <w:sz w:val="16"/>
          <w:szCs w:val="16"/>
        </w:rPr>
        <w:t>Zarządu Województwa Pomorskiego</w:t>
      </w:r>
    </w:p>
    <w:p w:rsidR="00B54691" w:rsidRPr="00B54691" w:rsidRDefault="00B54691" w:rsidP="00B54691">
      <w:pPr>
        <w:autoSpaceDE w:val="0"/>
        <w:autoSpaceDN w:val="0"/>
        <w:adjustRightInd w:val="0"/>
        <w:spacing w:line="240" w:lineRule="auto"/>
        <w:ind w:left="9925" w:firstLine="397"/>
        <w:rPr>
          <w:rFonts w:cs="Arial"/>
          <w:sz w:val="16"/>
          <w:szCs w:val="16"/>
        </w:rPr>
      </w:pPr>
      <w:r w:rsidRPr="00B54691">
        <w:rPr>
          <w:rFonts w:cs="Arial"/>
          <w:sz w:val="16"/>
          <w:szCs w:val="16"/>
        </w:rPr>
        <w:t xml:space="preserve">                 z dnia 23 marca 2023 roku</w:t>
      </w:r>
    </w:p>
    <w:p w:rsidR="00B54691" w:rsidRPr="00B54691" w:rsidRDefault="00B54691" w:rsidP="00B54691">
      <w:pPr>
        <w:autoSpaceDE w:val="0"/>
        <w:autoSpaceDN w:val="0"/>
        <w:adjustRightInd w:val="0"/>
        <w:spacing w:line="240" w:lineRule="auto"/>
        <w:ind w:left="9925" w:firstLine="397"/>
        <w:rPr>
          <w:rFonts w:cs="Arial"/>
          <w:sz w:val="16"/>
          <w:szCs w:val="16"/>
        </w:rPr>
      </w:pPr>
    </w:p>
    <w:p w:rsidR="00B54691" w:rsidRPr="00B54691" w:rsidRDefault="00B54691" w:rsidP="00B54691">
      <w:pPr>
        <w:autoSpaceDE w:val="0"/>
        <w:autoSpaceDN w:val="0"/>
        <w:adjustRightInd w:val="0"/>
        <w:spacing w:line="240" w:lineRule="auto"/>
        <w:rPr>
          <w:rFonts w:cs="Arial"/>
          <w:sz w:val="20"/>
          <w:szCs w:val="20"/>
        </w:rPr>
      </w:pPr>
      <w:r w:rsidRPr="00B54691">
        <w:rPr>
          <w:rFonts w:cs="Arial"/>
          <w:sz w:val="20"/>
          <w:szCs w:val="20"/>
        </w:rPr>
        <w:t>Podział środków Funduszu Pracy na finansowanie przez powiaty z województwa pomorskiego programów na rzecz promocji zatrudnienia, łagodzenia skutków bezrobocia i aktywizacji zawodowej, projektów współfinansowanych z Europejskiego Funduszu Społecznego oraz innych fakultatywnych zadań w 2023  r.</w:t>
      </w:r>
    </w:p>
    <w:p w:rsidR="00B54691" w:rsidRPr="00B54691" w:rsidRDefault="00B54691" w:rsidP="00B54691">
      <w:pPr>
        <w:tabs>
          <w:tab w:val="left" w:pos="9781"/>
        </w:tabs>
        <w:autoSpaceDE w:val="0"/>
        <w:autoSpaceDN w:val="0"/>
        <w:adjustRightInd w:val="0"/>
        <w:spacing w:line="240" w:lineRule="auto"/>
        <w:ind w:right="671"/>
        <w:rPr>
          <w:rFonts w:cs="Arial"/>
          <w:sz w:val="16"/>
          <w:szCs w:val="16"/>
        </w:rPr>
      </w:pPr>
      <w:r w:rsidRPr="00B54691">
        <w:rPr>
          <w:rFonts w:cs="Arial"/>
          <w:sz w:val="16"/>
          <w:szCs w:val="16"/>
        </w:rPr>
        <w:t>* środki w dyspozycji samorządu powiatu - pod warunkiem podjęcia decyzji przez starostę o kwalifikowaniu kosztów zarządzania w projekcie EFS</w:t>
      </w:r>
    </w:p>
    <w:tbl>
      <w:tblPr>
        <w:tblW w:w="13636" w:type="dxa"/>
        <w:jc w:val="center"/>
        <w:tblCellMar>
          <w:left w:w="70" w:type="dxa"/>
          <w:right w:w="70" w:type="dxa"/>
        </w:tblCellMar>
        <w:tblLook w:val="04A0" w:firstRow="1" w:lastRow="0" w:firstColumn="1" w:lastColumn="0" w:noHBand="0" w:noVBand="1"/>
      </w:tblPr>
      <w:tblGrid>
        <w:gridCol w:w="406"/>
        <w:gridCol w:w="1427"/>
        <w:gridCol w:w="1403"/>
        <w:gridCol w:w="1275"/>
        <w:gridCol w:w="1433"/>
        <w:gridCol w:w="1276"/>
        <w:gridCol w:w="1134"/>
        <w:gridCol w:w="1842"/>
        <w:gridCol w:w="1701"/>
        <w:gridCol w:w="1739"/>
      </w:tblGrid>
      <w:tr w:rsidR="00B54691" w:rsidRPr="00B54691" w:rsidTr="0041713D">
        <w:trPr>
          <w:trHeight w:val="465"/>
          <w:jc w:val="center"/>
        </w:trPr>
        <w:tc>
          <w:tcPr>
            <w:tcW w:w="40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Lp.</w:t>
            </w:r>
          </w:p>
        </w:tc>
        <w:tc>
          <w:tcPr>
            <w:tcW w:w="142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PUP</w:t>
            </w:r>
          </w:p>
        </w:tc>
        <w:tc>
          <w:tcPr>
            <w:tcW w:w="11803" w:type="dxa"/>
            <w:gridSpan w:val="8"/>
            <w:tcBorders>
              <w:top w:val="single" w:sz="8" w:space="0" w:color="auto"/>
              <w:left w:val="nil"/>
              <w:bottom w:val="single" w:sz="8" w:space="0" w:color="auto"/>
              <w:right w:val="single" w:sz="8" w:space="0" w:color="000000"/>
            </w:tcBorders>
            <w:shd w:val="clear" w:color="000000" w:fill="FFFFFF"/>
            <w:noWrap/>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PODZIAŁ ŚRODKÓW NA FINANSOWANIE PROGRAMÓW ORAZ INNYCH FAKULTATYWNYCH ZADAŃ</w:t>
            </w:r>
          </w:p>
        </w:tc>
      </w:tr>
      <w:tr w:rsidR="00B54691" w:rsidRPr="00B54691" w:rsidTr="0041713D">
        <w:trPr>
          <w:trHeight w:val="220"/>
          <w:jc w:val="center"/>
        </w:trPr>
        <w:tc>
          <w:tcPr>
            <w:tcW w:w="406" w:type="dxa"/>
            <w:vMerge/>
            <w:tcBorders>
              <w:top w:val="single" w:sz="8" w:space="0" w:color="auto"/>
              <w:left w:val="single" w:sz="8"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427" w:type="dxa"/>
            <w:vMerge/>
            <w:tcBorders>
              <w:top w:val="single" w:sz="8" w:space="0" w:color="auto"/>
              <w:left w:val="single" w:sz="4"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1803" w:type="dxa"/>
            <w:gridSpan w:val="8"/>
            <w:tcBorders>
              <w:top w:val="single" w:sz="8" w:space="0" w:color="auto"/>
              <w:left w:val="nil"/>
              <w:bottom w:val="single" w:sz="8" w:space="0" w:color="auto"/>
              <w:right w:val="single" w:sz="8" w:space="0" w:color="000000"/>
            </w:tcBorders>
            <w:shd w:val="clear" w:color="000000" w:fill="FFFFFF"/>
            <w:noWrap/>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w złotych</w:t>
            </w:r>
          </w:p>
        </w:tc>
      </w:tr>
      <w:tr w:rsidR="00B54691" w:rsidRPr="00B54691" w:rsidTr="0041713D">
        <w:trPr>
          <w:trHeight w:val="760"/>
          <w:jc w:val="center"/>
        </w:trPr>
        <w:tc>
          <w:tcPr>
            <w:tcW w:w="406" w:type="dxa"/>
            <w:vMerge/>
            <w:tcBorders>
              <w:top w:val="single" w:sz="8" w:space="0" w:color="auto"/>
              <w:left w:val="single" w:sz="8"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427" w:type="dxa"/>
            <w:vMerge/>
            <w:tcBorders>
              <w:top w:val="single" w:sz="8" w:space="0" w:color="auto"/>
              <w:left w:val="single" w:sz="4"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40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Łącznie aktywne z EFS plus inne fakultatywne zadania</w:t>
            </w:r>
            <w:r w:rsidRPr="00B54691">
              <w:rPr>
                <w:rFonts w:cs="Arial"/>
                <w:b/>
                <w:bCs/>
                <w:color w:val="000000"/>
                <w:sz w:val="14"/>
                <w:szCs w:val="14"/>
              </w:rPr>
              <w:br/>
              <w:t xml:space="preserve"> </w:t>
            </w:r>
            <w:r w:rsidRPr="00B54691">
              <w:rPr>
                <w:rFonts w:cs="Arial"/>
                <w:b/>
                <w:bCs/>
                <w:color w:val="000000"/>
                <w:sz w:val="14"/>
                <w:szCs w:val="14"/>
              </w:rPr>
              <w:br/>
            </w:r>
            <w:r w:rsidRPr="00B54691">
              <w:rPr>
                <w:rFonts w:cs="Arial"/>
                <w:b/>
                <w:bCs/>
                <w:i/>
                <w:iCs/>
                <w:color w:val="000000"/>
                <w:sz w:val="14"/>
                <w:szCs w:val="14"/>
              </w:rPr>
              <w:t>pkt I zawiadomienia (k.4+k.5)</w:t>
            </w:r>
          </w:p>
        </w:tc>
        <w:tc>
          <w:tcPr>
            <w:tcW w:w="127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 xml:space="preserve">Inne fakultatywne zadania </w:t>
            </w:r>
            <w:r w:rsidRPr="00B54691">
              <w:rPr>
                <w:rFonts w:cs="Arial"/>
                <w:b/>
                <w:bCs/>
                <w:color w:val="000000"/>
                <w:sz w:val="14"/>
                <w:szCs w:val="14"/>
              </w:rPr>
              <w:br/>
            </w:r>
            <w:r w:rsidRPr="00B54691">
              <w:rPr>
                <w:rFonts w:cs="Arial"/>
                <w:b/>
                <w:bCs/>
                <w:color w:val="000000"/>
                <w:sz w:val="14"/>
                <w:szCs w:val="14"/>
              </w:rPr>
              <w:br/>
            </w:r>
            <w:r w:rsidRPr="00B54691">
              <w:rPr>
                <w:rFonts w:cs="Arial"/>
                <w:b/>
                <w:bCs/>
                <w:i/>
                <w:iCs/>
                <w:color w:val="000000"/>
                <w:sz w:val="14"/>
                <w:szCs w:val="14"/>
              </w:rPr>
              <w:t>pkt. I.2 zawiadomienia</w:t>
            </w:r>
          </w:p>
        </w:tc>
        <w:tc>
          <w:tcPr>
            <w:tcW w:w="143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Aktywne programy łącznie z EFS</w:t>
            </w:r>
            <w:r w:rsidRPr="00B54691">
              <w:rPr>
                <w:rFonts w:cs="Arial"/>
                <w:b/>
                <w:bCs/>
                <w:color w:val="000000"/>
                <w:sz w:val="14"/>
                <w:szCs w:val="14"/>
              </w:rPr>
              <w:br/>
              <w:t xml:space="preserve"> </w:t>
            </w:r>
            <w:r w:rsidRPr="00B54691">
              <w:rPr>
                <w:rFonts w:cs="Arial"/>
                <w:b/>
                <w:bCs/>
                <w:color w:val="000000"/>
                <w:sz w:val="14"/>
                <w:szCs w:val="14"/>
              </w:rPr>
              <w:br/>
              <w:t>pkt I.1 zawiadomienia</w:t>
            </w:r>
            <w:r w:rsidRPr="00B54691">
              <w:rPr>
                <w:rFonts w:cs="Arial"/>
                <w:b/>
                <w:bCs/>
                <w:color w:val="000000"/>
                <w:sz w:val="14"/>
                <w:szCs w:val="14"/>
              </w:rPr>
              <w:br/>
              <w:t>(k.6+k.8)</w:t>
            </w:r>
          </w:p>
        </w:tc>
        <w:tc>
          <w:tcPr>
            <w:tcW w:w="2410" w:type="dxa"/>
            <w:gridSpan w:val="2"/>
            <w:tcBorders>
              <w:top w:val="nil"/>
              <w:left w:val="nil"/>
              <w:bottom w:val="nil"/>
              <w:right w:val="single" w:sz="4" w:space="0" w:color="auto"/>
            </w:tcBorders>
            <w:shd w:val="clear" w:color="000000" w:fill="FFFFFF"/>
            <w:vAlign w:val="center"/>
            <w:hideMark/>
          </w:tcPr>
          <w:p w:rsidR="00B54691" w:rsidRPr="00B54691" w:rsidRDefault="00B54691" w:rsidP="00B54691">
            <w:pPr>
              <w:spacing w:line="240" w:lineRule="auto"/>
              <w:jc w:val="center"/>
              <w:rPr>
                <w:rFonts w:cs="Arial"/>
                <w:color w:val="000000"/>
                <w:sz w:val="14"/>
                <w:szCs w:val="14"/>
              </w:rPr>
            </w:pPr>
            <w:r w:rsidRPr="00B54691">
              <w:rPr>
                <w:rFonts w:cs="Arial"/>
                <w:b/>
                <w:bCs/>
                <w:color w:val="000000"/>
                <w:sz w:val="14"/>
                <w:szCs w:val="14"/>
              </w:rPr>
              <w:t>Aktywne programy bez EFS</w:t>
            </w:r>
            <w:r w:rsidRPr="00B54691">
              <w:rPr>
                <w:rFonts w:cs="Arial"/>
                <w:b/>
                <w:bCs/>
                <w:color w:val="000000"/>
                <w:sz w:val="14"/>
                <w:szCs w:val="14"/>
              </w:rPr>
              <w:br/>
              <w:t xml:space="preserve"> kol 5-kol  8</w:t>
            </w:r>
            <w:r w:rsidRPr="00B54691">
              <w:rPr>
                <w:rFonts w:cs="Arial"/>
                <w:color w:val="000000"/>
                <w:sz w:val="14"/>
                <w:szCs w:val="14"/>
              </w:rPr>
              <w:t> </w:t>
            </w:r>
          </w:p>
        </w:tc>
        <w:tc>
          <w:tcPr>
            <w:tcW w:w="528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Środki na realizację projektów współfinansowanych</w:t>
            </w:r>
            <w:r w:rsidRPr="00B54691">
              <w:rPr>
                <w:rFonts w:cs="Arial"/>
                <w:b/>
                <w:bCs/>
                <w:color w:val="000000"/>
                <w:sz w:val="14"/>
                <w:szCs w:val="14"/>
              </w:rPr>
              <w:br/>
              <w:t>z Europejskiego Funduszu Społecznego Plus (EFS+), w ramach programu Fundusze Europejskie dla Pomorza 2021-2027 (FEP 2021-2027)</w:t>
            </w:r>
          </w:p>
        </w:tc>
      </w:tr>
      <w:tr w:rsidR="00B54691" w:rsidRPr="00B54691" w:rsidTr="0041713D">
        <w:trPr>
          <w:trHeight w:val="971"/>
          <w:jc w:val="center"/>
        </w:trPr>
        <w:tc>
          <w:tcPr>
            <w:tcW w:w="406" w:type="dxa"/>
            <w:vMerge/>
            <w:tcBorders>
              <w:top w:val="single" w:sz="8" w:space="0" w:color="auto"/>
              <w:left w:val="single" w:sz="8"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427" w:type="dxa"/>
            <w:vMerge/>
            <w:tcBorders>
              <w:top w:val="single" w:sz="8" w:space="0" w:color="auto"/>
              <w:left w:val="single" w:sz="4"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403" w:type="dxa"/>
            <w:vMerge/>
            <w:tcBorders>
              <w:top w:val="nil"/>
              <w:left w:val="single" w:sz="4"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275" w:type="dxa"/>
            <w:vMerge/>
            <w:tcBorders>
              <w:top w:val="nil"/>
              <w:left w:val="single" w:sz="4"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433" w:type="dxa"/>
            <w:vMerge/>
            <w:tcBorders>
              <w:top w:val="nil"/>
              <w:left w:val="single" w:sz="4" w:space="0" w:color="auto"/>
              <w:bottom w:val="single" w:sz="8" w:space="0" w:color="000000"/>
              <w:right w:val="single" w:sz="4" w:space="0" w:color="auto"/>
            </w:tcBorders>
            <w:vAlign w:val="center"/>
            <w:hideMark/>
          </w:tcPr>
          <w:p w:rsidR="00B54691" w:rsidRPr="00B54691" w:rsidRDefault="00B54691" w:rsidP="00B54691">
            <w:pPr>
              <w:spacing w:line="240" w:lineRule="auto"/>
              <w:rPr>
                <w:rFonts w:cs="Arial"/>
                <w:b/>
                <w:bCs/>
                <w:color w:val="000000"/>
                <w:sz w:val="14"/>
                <w:szCs w:val="14"/>
              </w:rPr>
            </w:pPr>
          </w:p>
        </w:tc>
        <w:tc>
          <w:tcPr>
            <w:tcW w:w="1276" w:type="dxa"/>
            <w:tcBorders>
              <w:top w:val="nil"/>
              <w:left w:val="nil"/>
              <w:bottom w:val="single" w:sz="8" w:space="0" w:color="auto"/>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w tym programy regionalne</w:t>
            </w:r>
          </w:p>
        </w:tc>
        <w:tc>
          <w:tcPr>
            <w:tcW w:w="1842" w:type="dxa"/>
            <w:tcBorders>
              <w:top w:val="single" w:sz="4" w:space="0" w:color="auto"/>
              <w:left w:val="nil"/>
              <w:bottom w:val="single" w:sz="8" w:space="0" w:color="auto"/>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Kwota środków</w:t>
            </w:r>
            <w:r w:rsidRPr="00B54691">
              <w:rPr>
                <w:rFonts w:cs="Arial"/>
                <w:b/>
                <w:bCs/>
                <w:color w:val="000000"/>
                <w:sz w:val="14"/>
                <w:szCs w:val="14"/>
              </w:rPr>
              <w:br/>
              <w:t>w ramach</w:t>
            </w:r>
            <w:r w:rsidRPr="00B54691">
              <w:rPr>
                <w:rFonts w:cs="Arial"/>
                <w:b/>
                <w:bCs/>
                <w:color w:val="000000"/>
                <w:sz w:val="14"/>
                <w:szCs w:val="14"/>
              </w:rPr>
              <w:br/>
              <w:t>FEP 2021-2027</w:t>
            </w:r>
            <w:r w:rsidRPr="00B54691">
              <w:rPr>
                <w:rFonts w:cs="Arial"/>
                <w:b/>
                <w:bCs/>
                <w:color w:val="000000"/>
                <w:sz w:val="14"/>
                <w:szCs w:val="14"/>
              </w:rPr>
              <w:br/>
              <w:t>(k. 9+ k. 10)</w:t>
            </w:r>
          </w:p>
        </w:tc>
        <w:tc>
          <w:tcPr>
            <w:tcW w:w="1701" w:type="dxa"/>
            <w:tcBorders>
              <w:top w:val="single" w:sz="4" w:space="0" w:color="auto"/>
              <w:left w:val="nil"/>
              <w:bottom w:val="single" w:sz="8" w:space="0" w:color="auto"/>
              <w:right w:val="single" w:sz="4"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kwota w części EFS+ - środki w dyspozycji samorządu województwa</w:t>
            </w:r>
            <w:r w:rsidRPr="00B54691">
              <w:rPr>
                <w:rFonts w:cs="Arial"/>
                <w:b/>
                <w:bCs/>
                <w:color w:val="000000"/>
                <w:sz w:val="14"/>
                <w:szCs w:val="14"/>
              </w:rPr>
              <w:br/>
              <w:t>(czwarta cyfra "7")</w:t>
            </w:r>
          </w:p>
        </w:tc>
        <w:tc>
          <w:tcPr>
            <w:tcW w:w="1739" w:type="dxa"/>
            <w:tcBorders>
              <w:top w:val="single" w:sz="4" w:space="0" w:color="auto"/>
              <w:left w:val="nil"/>
              <w:bottom w:val="single" w:sz="8" w:space="0" w:color="auto"/>
              <w:right w:val="single" w:sz="8" w:space="0" w:color="auto"/>
            </w:tcBorders>
            <w:shd w:val="clear" w:color="000000" w:fill="FFFFFF"/>
            <w:vAlign w:val="center"/>
            <w:hideMark/>
          </w:tcPr>
          <w:p w:rsidR="00B54691" w:rsidRPr="00B54691" w:rsidRDefault="00B54691" w:rsidP="00B54691">
            <w:pPr>
              <w:spacing w:line="240" w:lineRule="auto"/>
              <w:jc w:val="center"/>
              <w:rPr>
                <w:rFonts w:cs="Arial"/>
                <w:b/>
                <w:bCs/>
                <w:color w:val="000000"/>
                <w:sz w:val="14"/>
                <w:szCs w:val="14"/>
              </w:rPr>
            </w:pPr>
            <w:r w:rsidRPr="00B54691">
              <w:rPr>
                <w:rFonts w:cs="Arial"/>
                <w:b/>
                <w:bCs/>
                <w:color w:val="000000"/>
                <w:sz w:val="14"/>
                <w:szCs w:val="14"/>
              </w:rPr>
              <w:t>kwota w części wkładu krajowego - środki</w:t>
            </w:r>
            <w:r w:rsidRPr="00B54691">
              <w:rPr>
                <w:rFonts w:cs="Arial"/>
                <w:b/>
                <w:bCs/>
                <w:color w:val="000000"/>
                <w:sz w:val="14"/>
                <w:szCs w:val="14"/>
              </w:rPr>
              <w:br/>
              <w:t>w dyspozycji samorządu powiatu</w:t>
            </w:r>
            <w:r w:rsidRPr="00B54691">
              <w:rPr>
                <w:rFonts w:cs="Arial"/>
                <w:b/>
                <w:bCs/>
                <w:color w:val="000000"/>
                <w:sz w:val="14"/>
                <w:szCs w:val="14"/>
              </w:rPr>
              <w:br/>
              <w:t>(czwarta cyfra "9")</w:t>
            </w:r>
          </w:p>
        </w:tc>
      </w:tr>
      <w:tr w:rsidR="00B54691" w:rsidRPr="00B54691" w:rsidTr="0041713D">
        <w:trPr>
          <w:trHeight w:val="255"/>
          <w:jc w:val="center"/>
        </w:trPr>
        <w:tc>
          <w:tcPr>
            <w:tcW w:w="406" w:type="dxa"/>
            <w:tcBorders>
              <w:top w:val="nil"/>
              <w:left w:val="single" w:sz="8" w:space="0" w:color="auto"/>
              <w:bottom w:val="nil"/>
              <w:right w:val="single" w:sz="8" w:space="0" w:color="auto"/>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1</w:t>
            </w:r>
          </w:p>
        </w:tc>
        <w:tc>
          <w:tcPr>
            <w:tcW w:w="1427" w:type="dxa"/>
            <w:tcBorders>
              <w:top w:val="nil"/>
              <w:left w:val="nil"/>
              <w:bottom w:val="nil"/>
              <w:right w:val="nil"/>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2</w:t>
            </w:r>
          </w:p>
        </w:tc>
        <w:tc>
          <w:tcPr>
            <w:tcW w:w="1403" w:type="dxa"/>
            <w:tcBorders>
              <w:top w:val="nil"/>
              <w:left w:val="single" w:sz="8" w:space="0" w:color="auto"/>
              <w:bottom w:val="nil"/>
              <w:right w:val="single" w:sz="8" w:space="0" w:color="auto"/>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3</w:t>
            </w:r>
          </w:p>
        </w:tc>
        <w:tc>
          <w:tcPr>
            <w:tcW w:w="1275" w:type="dxa"/>
            <w:tcBorders>
              <w:top w:val="nil"/>
              <w:left w:val="nil"/>
              <w:bottom w:val="nil"/>
              <w:right w:val="nil"/>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4</w:t>
            </w:r>
          </w:p>
        </w:tc>
        <w:tc>
          <w:tcPr>
            <w:tcW w:w="1433" w:type="dxa"/>
            <w:tcBorders>
              <w:top w:val="nil"/>
              <w:left w:val="single" w:sz="8" w:space="0" w:color="auto"/>
              <w:bottom w:val="nil"/>
              <w:right w:val="single" w:sz="8" w:space="0" w:color="auto"/>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5</w:t>
            </w:r>
          </w:p>
        </w:tc>
        <w:tc>
          <w:tcPr>
            <w:tcW w:w="1276" w:type="dxa"/>
            <w:tcBorders>
              <w:top w:val="nil"/>
              <w:left w:val="nil"/>
              <w:bottom w:val="nil"/>
              <w:right w:val="nil"/>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6</w:t>
            </w:r>
          </w:p>
        </w:tc>
        <w:tc>
          <w:tcPr>
            <w:tcW w:w="1134" w:type="dxa"/>
            <w:tcBorders>
              <w:top w:val="nil"/>
              <w:left w:val="single" w:sz="8" w:space="0" w:color="auto"/>
              <w:bottom w:val="nil"/>
              <w:right w:val="single" w:sz="8" w:space="0" w:color="auto"/>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7</w:t>
            </w:r>
          </w:p>
        </w:tc>
        <w:tc>
          <w:tcPr>
            <w:tcW w:w="1842" w:type="dxa"/>
            <w:tcBorders>
              <w:top w:val="nil"/>
              <w:left w:val="nil"/>
              <w:bottom w:val="nil"/>
              <w:right w:val="nil"/>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8</w:t>
            </w:r>
          </w:p>
        </w:tc>
        <w:tc>
          <w:tcPr>
            <w:tcW w:w="1701" w:type="dxa"/>
            <w:tcBorders>
              <w:top w:val="nil"/>
              <w:left w:val="single" w:sz="8" w:space="0" w:color="auto"/>
              <w:bottom w:val="nil"/>
              <w:right w:val="single" w:sz="8" w:space="0" w:color="auto"/>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9</w:t>
            </w:r>
          </w:p>
        </w:tc>
        <w:tc>
          <w:tcPr>
            <w:tcW w:w="1739" w:type="dxa"/>
            <w:tcBorders>
              <w:top w:val="nil"/>
              <w:left w:val="nil"/>
              <w:bottom w:val="nil"/>
              <w:right w:val="single" w:sz="8" w:space="0" w:color="auto"/>
            </w:tcBorders>
            <w:shd w:val="clear" w:color="000000" w:fill="FFFFFF"/>
            <w:noWrap/>
            <w:vAlign w:val="center"/>
            <w:hideMark/>
          </w:tcPr>
          <w:p w:rsidR="00B54691" w:rsidRPr="00B54691" w:rsidRDefault="00B54691" w:rsidP="00B54691">
            <w:pPr>
              <w:spacing w:line="240" w:lineRule="auto"/>
              <w:jc w:val="center"/>
              <w:rPr>
                <w:rFonts w:cs="Arial"/>
                <w:color w:val="000000"/>
                <w:sz w:val="18"/>
                <w:szCs w:val="18"/>
              </w:rPr>
            </w:pPr>
            <w:r w:rsidRPr="00B54691">
              <w:rPr>
                <w:rFonts w:cs="Arial"/>
                <w:color w:val="000000"/>
                <w:sz w:val="18"/>
                <w:szCs w:val="18"/>
              </w:rPr>
              <w:t>10</w:t>
            </w:r>
          </w:p>
        </w:tc>
      </w:tr>
      <w:tr w:rsidR="00B54691" w:rsidRPr="00B54691" w:rsidTr="0041713D">
        <w:trPr>
          <w:trHeight w:val="270"/>
          <w:jc w:val="center"/>
        </w:trPr>
        <w:tc>
          <w:tcPr>
            <w:tcW w:w="406" w:type="dxa"/>
            <w:tcBorders>
              <w:top w:val="single" w:sz="8" w:space="0" w:color="auto"/>
              <w:left w:val="single" w:sz="8" w:space="0" w:color="auto"/>
              <w:bottom w:val="single" w:sz="8" w:space="0" w:color="auto"/>
              <w:right w:val="nil"/>
            </w:tcBorders>
            <w:shd w:val="clear" w:color="000000" w:fill="D9D9D9"/>
            <w:noWrap/>
            <w:vAlign w:val="center"/>
            <w:hideMark/>
          </w:tcPr>
          <w:p w:rsidR="00B54691" w:rsidRPr="00B54691" w:rsidRDefault="00B54691" w:rsidP="00B54691">
            <w:pPr>
              <w:spacing w:line="240" w:lineRule="auto"/>
              <w:jc w:val="center"/>
              <w:rPr>
                <w:rFonts w:cs="Arial"/>
                <w:b/>
                <w:bCs/>
                <w:color w:val="000000"/>
                <w:sz w:val="20"/>
                <w:szCs w:val="20"/>
              </w:rPr>
            </w:pPr>
            <w:r w:rsidRPr="00B54691">
              <w:rPr>
                <w:rFonts w:cs="Arial"/>
                <w:b/>
                <w:bCs/>
                <w:color w:val="000000"/>
                <w:sz w:val="20"/>
                <w:szCs w:val="20"/>
              </w:rPr>
              <w:t> </w:t>
            </w:r>
          </w:p>
        </w:tc>
        <w:tc>
          <w:tcPr>
            <w:tcW w:w="1427" w:type="dxa"/>
            <w:tcBorders>
              <w:top w:val="single" w:sz="8" w:space="0" w:color="auto"/>
              <w:left w:val="single" w:sz="8" w:space="0" w:color="auto"/>
              <w:bottom w:val="single" w:sz="8" w:space="0" w:color="auto"/>
              <w:right w:val="nil"/>
            </w:tcBorders>
            <w:shd w:val="clear" w:color="000000" w:fill="D9D9D9"/>
            <w:noWrap/>
            <w:vAlign w:val="center"/>
            <w:hideMark/>
          </w:tcPr>
          <w:p w:rsidR="00B54691" w:rsidRPr="00B54691" w:rsidRDefault="00B54691" w:rsidP="00B54691">
            <w:pPr>
              <w:spacing w:line="240" w:lineRule="auto"/>
              <w:jc w:val="center"/>
              <w:rPr>
                <w:rFonts w:cs="Arial"/>
                <w:b/>
                <w:bCs/>
                <w:color w:val="000000"/>
                <w:sz w:val="20"/>
                <w:szCs w:val="20"/>
              </w:rPr>
            </w:pPr>
            <w:r w:rsidRPr="00B54691">
              <w:rPr>
                <w:rFonts w:cs="Arial"/>
                <w:b/>
                <w:bCs/>
                <w:color w:val="000000"/>
                <w:sz w:val="20"/>
                <w:szCs w:val="20"/>
              </w:rPr>
              <w:t>Łącznie</w:t>
            </w:r>
          </w:p>
        </w:tc>
        <w:tc>
          <w:tcPr>
            <w:tcW w:w="1403"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173 608 306,56</w:t>
            </w:r>
          </w:p>
        </w:tc>
        <w:tc>
          <w:tcPr>
            <w:tcW w:w="1275" w:type="dxa"/>
            <w:tcBorders>
              <w:top w:val="single" w:sz="8" w:space="0" w:color="auto"/>
              <w:left w:val="nil"/>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10 742 543,46</w:t>
            </w:r>
          </w:p>
        </w:tc>
        <w:tc>
          <w:tcPr>
            <w:tcW w:w="1433" w:type="dxa"/>
            <w:tcBorders>
              <w:top w:val="single" w:sz="8" w:space="0" w:color="auto"/>
              <w:left w:val="nil"/>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162 865 763,10</w:t>
            </w:r>
          </w:p>
        </w:tc>
        <w:tc>
          <w:tcPr>
            <w:tcW w:w="1276" w:type="dxa"/>
            <w:tcBorders>
              <w:top w:val="single" w:sz="8" w:space="0" w:color="auto"/>
              <w:left w:val="nil"/>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127 501 224,10</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8 000 000,00</w:t>
            </w:r>
          </w:p>
        </w:tc>
        <w:tc>
          <w:tcPr>
            <w:tcW w:w="1842"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35 364 539,00</w:t>
            </w:r>
          </w:p>
        </w:tc>
        <w:tc>
          <w:tcPr>
            <w:tcW w:w="1701" w:type="dxa"/>
            <w:tcBorders>
              <w:top w:val="single" w:sz="8" w:space="0" w:color="auto"/>
              <w:left w:val="nil"/>
              <w:bottom w:val="single" w:sz="8" w:space="0" w:color="auto"/>
              <w:right w:val="single" w:sz="4"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30 059 858,00</w:t>
            </w:r>
          </w:p>
        </w:tc>
        <w:tc>
          <w:tcPr>
            <w:tcW w:w="1739" w:type="dxa"/>
            <w:tcBorders>
              <w:top w:val="single" w:sz="8" w:space="0" w:color="auto"/>
              <w:left w:val="nil"/>
              <w:bottom w:val="single" w:sz="8" w:space="0" w:color="auto"/>
              <w:right w:val="single" w:sz="8" w:space="0" w:color="auto"/>
            </w:tcBorders>
            <w:shd w:val="clear" w:color="000000" w:fill="D9D9D9"/>
            <w:noWrap/>
            <w:vAlign w:val="center"/>
            <w:hideMark/>
          </w:tcPr>
          <w:p w:rsidR="00B54691" w:rsidRPr="00B54691" w:rsidRDefault="00B54691" w:rsidP="00B54691">
            <w:pPr>
              <w:spacing w:line="240" w:lineRule="auto"/>
              <w:jc w:val="right"/>
              <w:rPr>
                <w:rFonts w:cs="Arial"/>
                <w:b/>
                <w:bCs/>
                <w:color w:val="000000"/>
                <w:sz w:val="16"/>
                <w:szCs w:val="16"/>
              </w:rPr>
            </w:pPr>
            <w:r w:rsidRPr="00B54691">
              <w:rPr>
                <w:rFonts w:cs="Arial"/>
                <w:b/>
                <w:bCs/>
                <w:color w:val="000000"/>
                <w:sz w:val="16"/>
                <w:szCs w:val="16"/>
              </w:rPr>
              <w:t>5 304 681,00</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Bytowski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10 104 323,58</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506 871,15</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9 597 452,43</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7 513 469,43</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471 428,85</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2 083 983,00</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1 771 385,54</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312 597,46</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2</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Chojnicki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12 618 858,31</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512 745,96</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12 106 112,35</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9 477 400,99</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594 654,74</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2 628 711,36</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2 234 404,64</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394 306,72</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3</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Człuchowski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12 312 702,89</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481 621,06</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11 831 081,83</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9 262 090,37</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581 145,19</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2 568 991,46</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2 183 642,73</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385 348,73</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4</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Kartuski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7 635 876,30</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486 672,46</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7 149 203,84</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5 596 831,55</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351 170,37</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1 552 372,29</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1 319 516,44</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232 855,85</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5</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Kościerski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7 505 106,69</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405 185,77</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7 099 920,92</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5 558 249,88</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348 749,59</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1 541 671,04</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1 310 420,38</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231 250,66</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6</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Kwidzyński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7 208 223,98</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427 847,20</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6 780 376,78</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5 308 091,29</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333 053,51</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1 472 285,49</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1 251 442,66</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220 842,83</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7</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Lęborski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7 984 115,00</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359 569,39</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7 624 545,61</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5 968 957,99</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374 519,26</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1 655 587,62</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1 407 249,47</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248 338,15</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8</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Malborski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5 879 510,71</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439 311,57</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5 440 199,14</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4 258 918,73</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267 223,71</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1 181 280,41</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1 004 088,34</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177 192,07</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9</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Nowodworski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4 997 527,56</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302 931,40</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4 694 596,16</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3 675 215,38</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230 599,54</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1 019 380,78</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866 473,66</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152 907,12</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10</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Pucki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6 096 437,94</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441 619,60</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5 654 818,34</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4 426 935,70</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277 765,85</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1 227 882,64</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1 043 700,24</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184 182,40</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11</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Słupski (P+M)</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17 588 531,44</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1 070 802,31</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16 517 729,13</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12 931 082,90</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811 354,27</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3 586 646,23</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3 048 649,28</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537 996,95</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12</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Starogardzki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9 660 001,40</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711 175,87</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8 948 825,53</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7 005 684,85</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439 568,16</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1 943 140,68</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1 651 669,57</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291 471,11</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13</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Sztumski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3 226 523,30</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252 060,24</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2 974 463,06</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2 328 590,58</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146 106,24</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645 872,48</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548 991,61</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96 880,87</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14</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Tczewski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9 004 692,65</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556 645,24</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8 448 047,41</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6 613 645,28</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414 969,84</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1 834 402,13</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1 559 241,80</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275 160,33</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15</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Wejherowski</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12 921 902,17</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922 304,53</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11 999 597,64</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9 394 014,79</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589 422,72</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2 605 582,85</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2 214 745,41</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390 837,44</w:t>
            </w:r>
          </w:p>
        </w:tc>
      </w:tr>
      <w:tr w:rsidR="00B54691" w:rsidRPr="00B54691" w:rsidTr="0041713D">
        <w:trPr>
          <w:trHeight w:val="345"/>
          <w:jc w:val="center"/>
        </w:trPr>
        <w:tc>
          <w:tcPr>
            <w:tcW w:w="406"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16</w:t>
            </w:r>
          </w:p>
        </w:tc>
        <w:tc>
          <w:tcPr>
            <w:tcW w:w="1427" w:type="dxa"/>
            <w:tcBorders>
              <w:top w:val="nil"/>
              <w:left w:val="single" w:sz="8" w:space="0" w:color="auto"/>
              <w:bottom w:val="single" w:sz="4" w:space="0" w:color="auto"/>
              <w:right w:val="nil"/>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m. Gdańsk (M+P)</w:t>
            </w:r>
          </w:p>
        </w:tc>
        <w:tc>
          <w:tcPr>
            <w:tcW w:w="1403" w:type="dxa"/>
            <w:tcBorders>
              <w:top w:val="nil"/>
              <w:left w:val="single" w:sz="8" w:space="0" w:color="auto"/>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29 336 974,11</w:t>
            </w:r>
          </w:p>
        </w:tc>
        <w:tc>
          <w:tcPr>
            <w:tcW w:w="1275"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1 946 795,55</w:t>
            </w:r>
          </w:p>
        </w:tc>
        <w:tc>
          <w:tcPr>
            <w:tcW w:w="1433"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27 390 178,56</w:t>
            </w:r>
          </w:p>
        </w:tc>
        <w:tc>
          <w:tcPr>
            <w:tcW w:w="1276"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21 442 697,52</w:t>
            </w:r>
          </w:p>
        </w:tc>
        <w:tc>
          <w:tcPr>
            <w:tcW w:w="1134"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1 345 411,24</w:t>
            </w:r>
          </w:p>
        </w:tc>
        <w:tc>
          <w:tcPr>
            <w:tcW w:w="1842"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5 947 481,04</w:t>
            </w:r>
          </w:p>
        </w:tc>
        <w:tc>
          <w:tcPr>
            <w:tcW w:w="1701" w:type="dxa"/>
            <w:tcBorders>
              <w:top w:val="nil"/>
              <w:left w:val="nil"/>
              <w:bottom w:val="single" w:sz="4"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5 055 358,86</w:t>
            </w:r>
          </w:p>
        </w:tc>
        <w:tc>
          <w:tcPr>
            <w:tcW w:w="1739" w:type="dxa"/>
            <w:tcBorders>
              <w:top w:val="nil"/>
              <w:left w:val="nil"/>
              <w:bottom w:val="single" w:sz="4"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892 122,18</w:t>
            </w:r>
          </w:p>
        </w:tc>
      </w:tr>
      <w:tr w:rsidR="00B54691" w:rsidRPr="00B54691" w:rsidTr="0041713D">
        <w:trPr>
          <w:trHeight w:val="345"/>
          <w:jc w:val="center"/>
        </w:trPr>
        <w:tc>
          <w:tcPr>
            <w:tcW w:w="406" w:type="dxa"/>
            <w:tcBorders>
              <w:top w:val="nil"/>
              <w:left w:val="single" w:sz="8" w:space="0" w:color="auto"/>
              <w:bottom w:val="single" w:sz="8" w:space="0" w:color="auto"/>
              <w:right w:val="nil"/>
            </w:tcBorders>
            <w:shd w:val="clear" w:color="auto" w:fill="auto"/>
            <w:noWrap/>
            <w:vAlign w:val="center"/>
            <w:hideMark/>
          </w:tcPr>
          <w:p w:rsidR="00B54691" w:rsidRPr="00B54691" w:rsidRDefault="00B54691" w:rsidP="00B54691">
            <w:pPr>
              <w:spacing w:line="240" w:lineRule="auto"/>
              <w:jc w:val="center"/>
              <w:rPr>
                <w:rFonts w:cs="Arial"/>
                <w:color w:val="000000"/>
                <w:sz w:val="20"/>
                <w:szCs w:val="20"/>
              </w:rPr>
            </w:pPr>
            <w:r w:rsidRPr="00B54691">
              <w:rPr>
                <w:rFonts w:cs="Arial"/>
                <w:color w:val="000000"/>
                <w:sz w:val="20"/>
                <w:szCs w:val="20"/>
              </w:rPr>
              <w:t>17</w:t>
            </w:r>
          </w:p>
        </w:tc>
        <w:tc>
          <w:tcPr>
            <w:tcW w:w="1427" w:type="dxa"/>
            <w:tcBorders>
              <w:top w:val="nil"/>
              <w:left w:val="single" w:sz="8" w:space="0" w:color="auto"/>
              <w:bottom w:val="single" w:sz="8" w:space="0" w:color="auto"/>
              <w:right w:val="single" w:sz="8" w:space="0" w:color="auto"/>
            </w:tcBorders>
            <w:shd w:val="clear" w:color="auto" w:fill="auto"/>
            <w:noWrap/>
            <w:vAlign w:val="center"/>
            <w:hideMark/>
          </w:tcPr>
          <w:p w:rsidR="00B54691" w:rsidRPr="00B54691" w:rsidRDefault="00B54691" w:rsidP="00B54691">
            <w:pPr>
              <w:spacing w:line="240" w:lineRule="auto"/>
              <w:rPr>
                <w:rFonts w:cs="Arial"/>
                <w:color w:val="000000"/>
                <w:sz w:val="14"/>
                <w:szCs w:val="14"/>
              </w:rPr>
            </w:pPr>
            <w:r w:rsidRPr="00B54691">
              <w:rPr>
                <w:rFonts w:cs="Arial"/>
                <w:color w:val="000000"/>
                <w:sz w:val="14"/>
                <w:szCs w:val="14"/>
              </w:rPr>
              <w:t>m. Gdynia (+ Sopot)</w:t>
            </w:r>
          </w:p>
        </w:tc>
        <w:tc>
          <w:tcPr>
            <w:tcW w:w="1403" w:type="dxa"/>
            <w:tcBorders>
              <w:top w:val="nil"/>
              <w:left w:val="nil"/>
              <w:bottom w:val="single" w:sz="8"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9 526 998,53</w:t>
            </w:r>
          </w:p>
        </w:tc>
        <w:tc>
          <w:tcPr>
            <w:tcW w:w="1275" w:type="dxa"/>
            <w:tcBorders>
              <w:top w:val="nil"/>
              <w:left w:val="nil"/>
              <w:bottom w:val="single" w:sz="8"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918 384,16</w:t>
            </w:r>
          </w:p>
        </w:tc>
        <w:tc>
          <w:tcPr>
            <w:tcW w:w="1433" w:type="dxa"/>
            <w:tcBorders>
              <w:top w:val="nil"/>
              <w:left w:val="nil"/>
              <w:bottom w:val="single" w:sz="8"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8 608 614,37</w:t>
            </w:r>
          </w:p>
        </w:tc>
        <w:tc>
          <w:tcPr>
            <w:tcW w:w="1276" w:type="dxa"/>
            <w:tcBorders>
              <w:top w:val="nil"/>
              <w:left w:val="nil"/>
              <w:bottom w:val="single" w:sz="8"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6 739 346,87</w:t>
            </w:r>
          </w:p>
        </w:tc>
        <w:tc>
          <w:tcPr>
            <w:tcW w:w="1134" w:type="dxa"/>
            <w:tcBorders>
              <w:top w:val="nil"/>
              <w:left w:val="nil"/>
              <w:bottom w:val="single" w:sz="8"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422 856,92</w:t>
            </w:r>
          </w:p>
        </w:tc>
        <w:tc>
          <w:tcPr>
            <w:tcW w:w="1842" w:type="dxa"/>
            <w:tcBorders>
              <w:top w:val="nil"/>
              <w:left w:val="nil"/>
              <w:bottom w:val="single" w:sz="8"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1 869 267,50</w:t>
            </w:r>
          </w:p>
        </w:tc>
        <w:tc>
          <w:tcPr>
            <w:tcW w:w="1701" w:type="dxa"/>
            <w:tcBorders>
              <w:top w:val="nil"/>
              <w:left w:val="nil"/>
              <w:bottom w:val="single" w:sz="8" w:space="0" w:color="auto"/>
              <w:right w:val="single" w:sz="4"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1 588 877,37</w:t>
            </w:r>
          </w:p>
        </w:tc>
        <w:tc>
          <w:tcPr>
            <w:tcW w:w="1739" w:type="dxa"/>
            <w:tcBorders>
              <w:top w:val="nil"/>
              <w:left w:val="nil"/>
              <w:bottom w:val="single" w:sz="8" w:space="0" w:color="auto"/>
              <w:right w:val="single" w:sz="8" w:space="0" w:color="auto"/>
            </w:tcBorders>
            <w:shd w:val="clear" w:color="auto" w:fill="auto"/>
            <w:noWrap/>
            <w:vAlign w:val="center"/>
            <w:hideMark/>
          </w:tcPr>
          <w:p w:rsidR="00B54691" w:rsidRPr="00B54691" w:rsidRDefault="00B54691" w:rsidP="00B54691">
            <w:pPr>
              <w:spacing w:line="240" w:lineRule="auto"/>
              <w:jc w:val="right"/>
              <w:rPr>
                <w:rFonts w:cs="Arial"/>
                <w:color w:val="000000"/>
                <w:sz w:val="16"/>
                <w:szCs w:val="16"/>
              </w:rPr>
            </w:pPr>
            <w:r w:rsidRPr="00B54691">
              <w:rPr>
                <w:rFonts w:cs="Arial"/>
                <w:color w:val="000000"/>
                <w:sz w:val="16"/>
                <w:szCs w:val="16"/>
              </w:rPr>
              <w:t>280 390,13</w:t>
            </w:r>
          </w:p>
        </w:tc>
      </w:tr>
      <w:bookmarkEnd w:id="4"/>
    </w:tbl>
    <w:p w:rsidR="004C6711" w:rsidRPr="008F5242" w:rsidRDefault="004C6711" w:rsidP="004C6711">
      <w:pPr>
        <w:tabs>
          <w:tab w:val="left" w:pos="1544"/>
        </w:tabs>
        <w:rPr>
          <w:rFonts w:asciiTheme="minorHAnsi" w:hAnsiTheme="minorHAnsi" w:cstheme="minorHAnsi"/>
        </w:rPr>
      </w:pPr>
    </w:p>
    <w:sectPr w:rsidR="004C6711" w:rsidRPr="008F5242" w:rsidSect="00AA64A3">
      <w:headerReference w:type="default" r:id="rId13"/>
      <w:pgSz w:w="15840" w:h="12240" w:orient="landscape"/>
      <w:pgMar w:top="851" w:right="1077" w:bottom="170" w:left="1077"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0ED" w:rsidRDefault="004350ED">
      <w:r>
        <w:separator/>
      </w:r>
    </w:p>
  </w:endnote>
  <w:endnote w:type="continuationSeparator" w:id="0">
    <w:p w:rsidR="004350ED" w:rsidRDefault="0043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500" w:rsidRPr="00124D4A" w:rsidRDefault="007B2500"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500" w:rsidRPr="00B01F08" w:rsidRDefault="00B2771A" w:rsidP="003526F5">
    <w:pPr>
      <w:pStyle w:val="Stopka"/>
      <w:ind w:left="-1134"/>
    </w:pPr>
    <w:r>
      <w:rPr>
        <w:noProof/>
      </w:rPr>
      <w:drawing>
        <wp:anchor distT="0" distB="0" distL="114300" distR="114300" simplePos="0" relativeHeight="251670528" behindDoc="0" locked="0" layoutInCell="1" allowOverlap="1" wp14:anchorId="43E8E9FB" wp14:editId="5965094A">
          <wp:simplePos x="0" y="0"/>
          <wp:positionH relativeFrom="margin">
            <wp:posOffset>3596572</wp:posOffset>
          </wp:positionH>
          <wp:positionV relativeFrom="paragraph">
            <wp:posOffset>-301098</wp:posOffset>
          </wp:positionV>
          <wp:extent cx="2834657" cy="368590"/>
          <wp:effectExtent l="0" t="0" r="3810" b="0"/>
          <wp:wrapNone/>
          <wp:docPr id="1218155157" name="Obraz 121815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l="5953" t="26941" r="5754" b="23544"/>
                  <a:stretch/>
                </pic:blipFill>
                <pic:spPr bwMode="auto">
                  <a:xfrm>
                    <a:off x="0" y="0"/>
                    <a:ext cx="2834657" cy="368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-233901</wp:posOffset>
              </wp:positionV>
              <wp:extent cx="4707172" cy="522605"/>
              <wp:effectExtent l="0" t="0" r="0" b="9525"/>
              <wp:wrapNone/>
              <wp:docPr id="217" name="Pole tekstowe 2" descr="Fundusze Europejskie dla Pomorza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522605"/>
                      </a:xfrm>
                      <a:prstGeom prst="rect">
                        <a:avLst/>
                      </a:prstGeom>
                      <a:solidFill>
                        <a:srgbClr val="FFFFFF"/>
                      </a:solidFill>
                      <a:ln w="9525">
                        <a:noFill/>
                        <a:miter lim="800000"/>
                        <a:headEnd/>
                        <a:tailEnd/>
                      </a:ln>
                    </wps:spPr>
                    <wps:txbx>
                      <w:txbxContent>
                        <w:p w:rsidR="00C268A0" w:rsidRPr="0061767F" w:rsidRDefault="00C268A0" w:rsidP="00B2771A">
                          <w:pPr>
                            <w:ind w:right="170"/>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alt="Fundusze Europejskie dla Pomorza 2021-2027" style="position:absolute;left:0;text-align:left;margin-left:0;margin-top:-18.4pt;width:370.65pt;height:41.15pt;z-index:25166131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" stroked="f">
              <v:textbox style="mso-fit-shape-to-text:t">
                <w:txbxContent>
                  <w:p w:rsidR="00C268A0" w:rsidRPr="0061767F" w:rsidRDefault="00C268A0" w:rsidP="00B2771A">
                    <w:pPr>
                      <w:ind w:right="170"/>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sidR="000A3836">
      <w:rPr>
        <w:noProof/>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-408231</wp:posOffset>
              </wp:positionV>
              <wp:extent cx="7174800" cy="0"/>
              <wp:effectExtent l="0" t="0" r="0" b="0"/>
              <wp:wrapNone/>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490209" id="Łącznik prosty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2.15pt" to="512.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" strokecolor="black [3213]"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0ED" w:rsidRDefault="004350ED">
      <w:r>
        <w:separator/>
      </w:r>
    </w:p>
  </w:footnote>
  <w:footnote w:type="continuationSeparator" w:id="0">
    <w:p w:rsidR="004350ED" w:rsidRDefault="004350ED">
      <w:r>
        <w:continuationSeparator/>
      </w:r>
    </w:p>
  </w:footnote>
  <w:footnote w:id="1">
    <w:p w:rsidR="004C6711" w:rsidRDefault="004C6711" w:rsidP="004C6711">
      <w:pPr>
        <w:pStyle w:val="Tekstprzypisudolnego"/>
        <w:rPr>
          <w:rFonts w:ascii="Arial" w:hAnsi="Arial" w:cs="Arial"/>
        </w:rPr>
      </w:pPr>
      <w:r>
        <w:rPr>
          <w:rStyle w:val="Odwoanieprzypisudolnego"/>
        </w:rPr>
        <w:footnoteRef/>
      </w:r>
      <w:r>
        <w:t xml:space="preserve"> </w:t>
      </w:r>
      <w:r w:rsidRPr="00DD25DC">
        <w:rPr>
          <w:rFonts w:ascii="Arial" w:hAnsi="Arial" w:cs="Arial"/>
        </w:rPr>
        <w:t>Zm. z 2022 r. poz. 830, poz. 1079, poz. 1383, poz. 1561, poz. 1812, poz. 2666 i poz. 2754, M. P. z 2022 r. poz. 487</w:t>
      </w:r>
    </w:p>
    <w:p w:rsidR="004C6711" w:rsidRPr="004137B4" w:rsidRDefault="004C6711" w:rsidP="004C6711">
      <w:pPr>
        <w:pStyle w:val="Tekstprzypisudolnego"/>
        <w:rPr>
          <w:rFonts w:ascii="Arial" w:hAnsi="Arial" w:cs="Arial"/>
          <w:sz w:val="22"/>
          <w:szCs w:val="22"/>
        </w:rPr>
      </w:pPr>
      <w:r w:rsidRPr="00D758D3">
        <w:rPr>
          <w:noProo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32F" w:rsidRDefault="00F5032F" w:rsidP="009A4ACC">
    <w:pPr>
      <w:pStyle w:val="Nagwek"/>
      <w:ind w:left="-1134"/>
    </w:pPr>
  </w:p>
  <w:p w:rsidR="009A4ACC" w:rsidRDefault="009A4A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4EA" w:rsidRDefault="000174EA" w:rsidP="004C6711">
    <w:pPr>
      <w:pStyle w:val="Nagwek"/>
      <w:ind w:left="-1276"/>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-740079</wp:posOffset>
              </wp:positionH>
              <wp:positionV relativeFrom="paragraph">
                <wp:posOffset>750570</wp:posOffset>
              </wp:positionV>
              <wp:extent cx="7258050" cy="0"/>
              <wp:effectExtent l="0" t="0" r="0" b="0"/>
              <wp:wrapNone/>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DA4A3" id="Łącznik prosty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25pt,59.1pt" to="513.2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" strokecolor="black [3213]" strokeweight=".25pt">
              <v:stroke joinstyle="miter"/>
            </v:line>
          </w:pict>
        </mc:Fallback>
      </mc:AlternateContent>
    </w:r>
    <w:r w:rsidR="009726FB">
      <w:rPr>
        <w:noProof/>
      </w:rPr>
      <w:drawing>
        <wp:inline distT="0" distB="0" distL="0" distR="0">
          <wp:extent cx="7321846" cy="686257"/>
          <wp:effectExtent l="0" t="0" r="0" b="0"/>
          <wp:docPr id="2139641820" name="Obraz 2139641820"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0497" cy="703939"/>
                  </a:xfrm>
                  <a:prstGeom prst="rect">
                    <a:avLst/>
                  </a:prstGeom>
                  <a:noFill/>
                  <a:ln>
                    <a:noFill/>
                  </a:ln>
                </pic:spPr>
              </pic:pic>
            </a:graphicData>
          </a:graphic>
        </wp:inline>
      </w:drawing>
    </w:r>
  </w:p>
  <w:p w:rsidR="000174EA" w:rsidRDefault="000174EA" w:rsidP="000174EA">
    <w:pPr>
      <w:pStyle w:val="Nagwek"/>
      <w:tabs>
        <w:tab w:val="clear" w:pos="4536"/>
        <w:tab w:val="clear" w:pos="9072"/>
        <w:tab w:val="left" w:pos="35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1AB" w:rsidRPr="00AA64A3" w:rsidRDefault="00000000" w:rsidP="00AA64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6997"/>
    <w:multiLevelType w:val="hybridMultilevel"/>
    <w:tmpl w:val="04FEC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12776F"/>
    <w:multiLevelType w:val="hybridMultilevel"/>
    <w:tmpl w:val="F956EE64"/>
    <w:lvl w:ilvl="0" w:tplc="13EED59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76855A9"/>
    <w:multiLevelType w:val="hybridMultilevel"/>
    <w:tmpl w:val="1E32DC92"/>
    <w:lvl w:ilvl="0" w:tplc="E03AB5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6FF30810"/>
    <w:multiLevelType w:val="hybridMultilevel"/>
    <w:tmpl w:val="ED4E5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A35C0A"/>
    <w:multiLevelType w:val="multilevel"/>
    <w:tmpl w:val="428E9EAC"/>
    <w:numStyleLink w:val="Lista1"/>
  </w:abstractNum>
  <w:num w:numId="1" w16cid:durableId="865094169">
    <w:abstractNumId w:val="2"/>
  </w:num>
  <w:num w:numId="2" w16cid:durableId="623775500">
    <w:abstractNumId w:val="5"/>
  </w:num>
  <w:num w:numId="3" w16cid:durableId="1973557748">
    <w:abstractNumId w:val="1"/>
  </w:num>
  <w:num w:numId="4" w16cid:durableId="1627589445">
    <w:abstractNumId w:val="4"/>
  </w:num>
  <w:num w:numId="5" w16cid:durableId="681978300">
    <w:abstractNumId w:val="0"/>
  </w:num>
  <w:num w:numId="6" w16cid:durableId="159196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3CB9BD6-29FB-4972-87C4-CE62F2F9D3BE}"/>
  </w:docVars>
  <w:rsids>
    <w:rsidRoot w:val="001A02A1"/>
    <w:rsid w:val="000174EA"/>
    <w:rsid w:val="000364DF"/>
    <w:rsid w:val="00061F20"/>
    <w:rsid w:val="00080D83"/>
    <w:rsid w:val="000A3836"/>
    <w:rsid w:val="000D283E"/>
    <w:rsid w:val="000E03EE"/>
    <w:rsid w:val="00120BC8"/>
    <w:rsid w:val="00124D4A"/>
    <w:rsid w:val="001304E7"/>
    <w:rsid w:val="00130B23"/>
    <w:rsid w:val="001520FF"/>
    <w:rsid w:val="001A02A1"/>
    <w:rsid w:val="001A3D33"/>
    <w:rsid w:val="001B210F"/>
    <w:rsid w:val="001D059A"/>
    <w:rsid w:val="00227049"/>
    <w:rsid w:val="00241C1F"/>
    <w:rsid w:val="002425AE"/>
    <w:rsid w:val="002529E4"/>
    <w:rsid w:val="002C6347"/>
    <w:rsid w:val="00315901"/>
    <w:rsid w:val="00320AAC"/>
    <w:rsid w:val="00321F28"/>
    <w:rsid w:val="00325198"/>
    <w:rsid w:val="003526F5"/>
    <w:rsid w:val="0035482A"/>
    <w:rsid w:val="003619F2"/>
    <w:rsid w:val="00365820"/>
    <w:rsid w:val="00387F6A"/>
    <w:rsid w:val="0039693E"/>
    <w:rsid w:val="003C554F"/>
    <w:rsid w:val="0040149C"/>
    <w:rsid w:val="00414478"/>
    <w:rsid w:val="004350ED"/>
    <w:rsid w:val="004430F4"/>
    <w:rsid w:val="00464281"/>
    <w:rsid w:val="00492BD3"/>
    <w:rsid w:val="004B38AD"/>
    <w:rsid w:val="004B70BD"/>
    <w:rsid w:val="004C303B"/>
    <w:rsid w:val="004C6711"/>
    <w:rsid w:val="0052111D"/>
    <w:rsid w:val="005760A9"/>
    <w:rsid w:val="00594464"/>
    <w:rsid w:val="0061767F"/>
    <w:rsid w:val="00622781"/>
    <w:rsid w:val="00640BFF"/>
    <w:rsid w:val="0066032A"/>
    <w:rsid w:val="00665A91"/>
    <w:rsid w:val="0069621B"/>
    <w:rsid w:val="006B4267"/>
    <w:rsid w:val="006F0C63"/>
    <w:rsid w:val="006F209E"/>
    <w:rsid w:val="00727A0E"/>
    <w:rsid w:val="00727F94"/>
    <w:rsid w:val="007337EB"/>
    <w:rsid w:val="00745D18"/>
    <w:rsid w:val="00776530"/>
    <w:rsid w:val="00791E8E"/>
    <w:rsid w:val="007A0109"/>
    <w:rsid w:val="007B2500"/>
    <w:rsid w:val="007B5688"/>
    <w:rsid w:val="007D61D6"/>
    <w:rsid w:val="007E1B19"/>
    <w:rsid w:val="007E670E"/>
    <w:rsid w:val="007F3623"/>
    <w:rsid w:val="00827311"/>
    <w:rsid w:val="00834BB4"/>
    <w:rsid w:val="00835187"/>
    <w:rsid w:val="00873501"/>
    <w:rsid w:val="00876326"/>
    <w:rsid w:val="008945D9"/>
    <w:rsid w:val="008C52E2"/>
    <w:rsid w:val="008F5242"/>
    <w:rsid w:val="009706FB"/>
    <w:rsid w:val="009726FB"/>
    <w:rsid w:val="009A4ACC"/>
    <w:rsid w:val="009D71C1"/>
    <w:rsid w:val="009F2CF0"/>
    <w:rsid w:val="00A0160D"/>
    <w:rsid w:val="00A04690"/>
    <w:rsid w:val="00A40DD3"/>
    <w:rsid w:val="00A830EB"/>
    <w:rsid w:val="00A8311B"/>
    <w:rsid w:val="00AD1EFE"/>
    <w:rsid w:val="00AD51FC"/>
    <w:rsid w:val="00AD7E56"/>
    <w:rsid w:val="00B01F08"/>
    <w:rsid w:val="00B16E8F"/>
    <w:rsid w:val="00B2442F"/>
    <w:rsid w:val="00B2771A"/>
    <w:rsid w:val="00B30401"/>
    <w:rsid w:val="00B54691"/>
    <w:rsid w:val="00B6637D"/>
    <w:rsid w:val="00BB76D0"/>
    <w:rsid w:val="00BC363C"/>
    <w:rsid w:val="00C268A0"/>
    <w:rsid w:val="00C377A0"/>
    <w:rsid w:val="00C57BB1"/>
    <w:rsid w:val="00C62C24"/>
    <w:rsid w:val="00C635B6"/>
    <w:rsid w:val="00CA5CBD"/>
    <w:rsid w:val="00CE005B"/>
    <w:rsid w:val="00D0361A"/>
    <w:rsid w:val="00D1150B"/>
    <w:rsid w:val="00D30ADD"/>
    <w:rsid w:val="00D43A0D"/>
    <w:rsid w:val="00D46867"/>
    <w:rsid w:val="00D526F3"/>
    <w:rsid w:val="00D57724"/>
    <w:rsid w:val="00DA2034"/>
    <w:rsid w:val="00DC733E"/>
    <w:rsid w:val="00DE5229"/>
    <w:rsid w:val="00DF57BE"/>
    <w:rsid w:val="00E06500"/>
    <w:rsid w:val="00E539C6"/>
    <w:rsid w:val="00E57060"/>
    <w:rsid w:val="00E81ADD"/>
    <w:rsid w:val="00E87616"/>
    <w:rsid w:val="00EA5C16"/>
    <w:rsid w:val="00EF000D"/>
    <w:rsid w:val="00F5032F"/>
    <w:rsid w:val="00F545A3"/>
    <w:rsid w:val="00F83EE2"/>
    <w:rsid w:val="00FB1502"/>
    <w:rsid w:val="00FB5706"/>
    <w:rsid w:val="00FB7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5DCB6"/>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paragraph" w:styleId="Nagwek1">
    <w:name w:val="heading 1"/>
    <w:basedOn w:val="Normalny"/>
    <w:next w:val="Normalny"/>
    <w:link w:val="Nagwek1Znak"/>
    <w:autoRedefine/>
    <w:uiPriority w:val="9"/>
    <w:qFormat/>
    <w:rsid w:val="004C6711"/>
    <w:pPr>
      <w:keepNext/>
      <w:keepLines/>
      <w:spacing w:after="360"/>
      <w:jc w:val="center"/>
      <w:outlineLvl w:val="0"/>
    </w:pPr>
    <w:rPr>
      <w:rFonts w:eastAsiaTheme="majorEastAsia" w:cs="Arial"/>
      <w:b/>
      <w:spacing w:val="30"/>
      <w:sz w:val="28"/>
      <w:szCs w:val="28"/>
    </w:rPr>
  </w:style>
  <w:style w:type="paragraph" w:styleId="Nagwek2">
    <w:name w:val="heading 2"/>
    <w:basedOn w:val="Normalny"/>
    <w:next w:val="Normalny"/>
    <w:link w:val="Nagwek2Znak"/>
    <w:qFormat/>
    <w:rsid w:val="004C6711"/>
    <w:pPr>
      <w:keepNext/>
      <w:spacing w:before="240" w:after="120"/>
      <w:jc w:val="center"/>
      <w:outlineLvl w:val="1"/>
    </w:pPr>
    <w:rPr>
      <w:rFonts w:cs="Arial"/>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Nagwek1Znak">
    <w:name w:val="Nagłówek 1 Znak"/>
    <w:basedOn w:val="Domylnaczcionkaakapitu"/>
    <w:link w:val="Nagwek1"/>
    <w:uiPriority w:val="9"/>
    <w:rsid w:val="004C6711"/>
    <w:rPr>
      <w:rFonts w:ascii="Arial" w:eastAsiaTheme="majorEastAsia" w:hAnsi="Arial" w:cs="Arial"/>
      <w:b/>
      <w:spacing w:val="30"/>
      <w:sz w:val="28"/>
      <w:szCs w:val="28"/>
    </w:rPr>
  </w:style>
  <w:style w:type="character" w:customStyle="1" w:styleId="Nagwek2Znak">
    <w:name w:val="Nagłówek 2 Znak"/>
    <w:basedOn w:val="Domylnaczcionkaakapitu"/>
    <w:link w:val="Nagwek2"/>
    <w:rsid w:val="004C6711"/>
    <w:rPr>
      <w:rFonts w:ascii="Arial" w:hAnsi="Arial" w:cs="Arial"/>
      <w:b/>
      <w:bCs/>
      <w:iCs/>
      <w:sz w:val="24"/>
      <w:szCs w:val="28"/>
    </w:rPr>
  </w:style>
  <w:style w:type="paragraph" w:styleId="Tekstprzypisudolnego">
    <w:name w:val="footnote text"/>
    <w:basedOn w:val="Normalny"/>
    <w:link w:val="TekstprzypisudolnegoZnak"/>
    <w:rsid w:val="004C6711"/>
    <w:pPr>
      <w:spacing w:after="12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4C6711"/>
  </w:style>
  <w:style w:type="character" w:styleId="Odwoanieprzypisudolnego">
    <w:name w:val="footnote reference"/>
    <w:rsid w:val="004C6711"/>
    <w:rPr>
      <w:vertAlign w:val="superscript"/>
    </w:rPr>
  </w:style>
  <w:style w:type="paragraph" w:styleId="Tytu">
    <w:name w:val="Title"/>
    <w:basedOn w:val="Tekstpodstawowy"/>
    <w:next w:val="Podtytu"/>
    <w:link w:val="TytuZnak"/>
    <w:autoRedefine/>
    <w:uiPriority w:val="10"/>
    <w:qFormat/>
    <w:rsid w:val="004C6711"/>
    <w:pPr>
      <w:spacing w:before="240" w:after="240" w:line="360" w:lineRule="auto"/>
      <w:jc w:val="center"/>
    </w:pPr>
    <w:rPr>
      <w:rFonts w:eastAsiaTheme="majorEastAsia" w:cs="Arial"/>
      <w:b/>
      <w:spacing w:val="30"/>
      <w:kern w:val="28"/>
    </w:rPr>
  </w:style>
  <w:style w:type="character" w:customStyle="1" w:styleId="TytuZnak">
    <w:name w:val="Tytuł Znak"/>
    <w:basedOn w:val="Domylnaczcionkaakapitu"/>
    <w:link w:val="Tytu"/>
    <w:uiPriority w:val="10"/>
    <w:rsid w:val="004C6711"/>
    <w:rPr>
      <w:rFonts w:ascii="Arial" w:eastAsiaTheme="majorEastAsia" w:hAnsi="Arial" w:cs="Arial"/>
      <w:b/>
      <w:spacing w:val="30"/>
      <w:kern w:val="28"/>
      <w:sz w:val="24"/>
      <w:szCs w:val="24"/>
    </w:rPr>
  </w:style>
  <w:style w:type="paragraph" w:customStyle="1" w:styleId="Zarzdzeniewsprwie">
    <w:name w:val="Zarządzenie w sprwie"/>
    <w:basedOn w:val="Normalny"/>
    <w:link w:val="ZarzdzeniewsprwieZnak"/>
    <w:qFormat/>
    <w:rsid w:val="004C6711"/>
    <w:pPr>
      <w:spacing w:after="360"/>
    </w:pPr>
    <w:rPr>
      <w:rFonts w:cs="Arial"/>
      <w:b/>
      <w:szCs w:val="20"/>
    </w:rPr>
  </w:style>
  <w:style w:type="character" w:customStyle="1" w:styleId="ZarzdzeniewsprwieZnak">
    <w:name w:val="Zarządzenie w sprwie Znak"/>
    <w:basedOn w:val="Domylnaczcionkaakapitu"/>
    <w:link w:val="Zarzdzeniewsprwie"/>
    <w:rsid w:val="004C6711"/>
    <w:rPr>
      <w:rFonts w:ascii="Arial" w:hAnsi="Arial" w:cs="Arial"/>
      <w:b/>
      <w:sz w:val="24"/>
    </w:rPr>
  </w:style>
  <w:style w:type="paragraph" w:styleId="Tekstpodstawowy">
    <w:name w:val="Body Text"/>
    <w:basedOn w:val="Normalny"/>
    <w:link w:val="TekstpodstawowyZnak"/>
    <w:rsid w:val="004C6711"/>
    <w:pPr>
      <w:spacing w:after="120"/>
    </w:pPr>
  </w:style>
  <w:style w:type="character" w:customStyle="1" w:styleId="TekstpodstawowyZnak">
    <w:name w:val="Tekst podstawowy Znak"/>
    <w:basedOn w:val="Domylnaczcionkaakapitu"/>
    <w:link w:val="Tekstpodstawowy"/>
    <w:rsid w:val="004C6711"/>
    <w:rPr>
      <w:rFonts w:ascii="Arial" w:hAnsi="Arial"/>
      <w:sz w:val="24"/>
      <w:szCs w:val="24"/>
    </w:rPr>
  </w:style>
  <w:style w:type="paragraph" w:styleId="Podtytu">
    <w:name w:val="Subtitle"/>
    <w:basedOn w:val="Normalny"/>
    <w:next w:val="Normalny"/>
    <w:link w:val="PodtytuZnak"/>
    <w:qFormat/>
    <w:rsid w:val="004C6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4C671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B9BD6-29FB-4972-87C4-CE62F2F9D3BE}">
  <ds:schemaRefs>
    <ds:schemaRef ds:uri="http://www.w3.org/2001/XMLSchema"/>
  </ds:schemaRefs>
</ds:datastoreItem>
</file>

<file path=customXml/itemProps2.xml><?xml version="1.0" encoding="utf-8"?>
<ds:datastoreItem xmlns:ds="http://schemas.openxmlformats.org/officeDocument/2006/customXml" ds:itemID="{2E52C8AF-6764-4F6A-AFAD-BCFDD7AA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10</TotalTime>
  <Pages>5</Pages>
  <Words>1393</Words>
  <Characters>8364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Artur Marchewka</cp:lastModifiedBy>
  <cp:revision>5</cp:revision>
  <cp:lastPrinted>2023-01-30T16:12:00Z</cp:lastPrinted>
  <dcterms:created xsi:type="dcterms:W3CDTF">2023-05-25T12:12:00Z</dcterms:created>
  <dcterms:modified xsi:type="dcterms:W3CDTF">2023-05-25T12:41:00Z</dcterms:modified>
</cp:coreProperties>
</file>