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2E4E" w:rsidRDefault="00E01E21" w:rsidP="00142A53">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inline distT="0" distB="0" distL="0" distR="0">
                <wp:extent cx="6583680" cy="0"/>
                <wp:effectExtent l="0" t="0" r="0" b="0"/>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AC198F" id="_x0000_t32" coordsize="21600,21600" o:spt="32" o:oned="t" path="m,l21600,21600e" filled="f">
                <v:path arrowok="t" fillok="f" o:connecttype="none"/>
                <o:lock v:ext="edit" shapetype="t"/>
              </v:shapetype>
              <v:shape id="AutoShape 2" o:spid="_x0000_s1026" type="#_x0000_t32" style="width:51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I5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">
                <w10:anchorlock/>
              </v:shap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976ED7">
        <w:rPr>
          <w:rFonts w:asciiTheme="minorHAnsi" w:hAnsiTheme="minorHAnsi" w:cstheme="minorHAnsi"/>
          <w:sz w:val="22"/>
          <w:szCs w:val="22"/>
        </w:rPr>
        <w:t>9</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191707">
        <w:rPr>
          <w:rFonts w:ascii="Calibri" w:hAnsi="Calibri" w:cs="Tahoma"/>
          <w:b/>
          <w:bCs/>
        </w:rPr>
        <w:t>8</w:t>
      </w:r>
      <w:r w:rsidR="00D4714C">
        <w:rPr>
          <w:rFonts w:ascii="Calibri" w:hAnsi="Calibri" w:cs="Tahoma"/>
          <w:b/>
          <w:bCs/>
        </w:rPr>
        <w:t xml:space="preserve">. Edukacja </w:t>
      </w:r>
      <w:r w:rsidR="00191707">
        <w:rPr>
          <w:rFonts w:ascii="Calibri" w:hAnsi="Calibri" w:cs="Tahoma"/>
          <w:b/>
          <w:bCs/>
        </w:rPr>
        <w:t xml:space="preserve">ogólna i zawodowa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191707">
        <w:rPr>
          <w:rFonts w:ascii="Calibri" w:hAnsi="Calibri" w:cs="Tahoma"/>
          <w:b/>
          <w:color w:val="000000"/>
          <w:sz w:val="22"/>
          <w:szCs w:val="22"/>
        </w:rPr>
        <w:t>8</w:t>
      </w:r>
      <w:r w:rsidR="00790DA9">
        <w:rPr>
          <w:rFonts w:ascii="Calibri" w:hAnsi="Calibri" w:cs="Tahoma"/>
          <w:b/>
          <w:color w:val="000000"/>
          <w:sz w:val="22"/>
          <w:szCs w:val="22"/>
        </w:rPr>
        <w:t xml:space="preserve">. Edukacja </w:t>
      </w:r>
      <w:r w:rsidR="00191707">
        <w:rPr>
          <w:rFonts w:ascii="Calibri" w:hAnsi="Calibri" w:cs="Tahoma"/>
          <w:b/>
          <w:color w:val="000000"/>
          <w:sz w:val="22"/>
          <w:szCs w:val="22"/>
        </w:rPr>
        <w:t>ogólna i zawodowa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000041DC">
        <w:rPr>
          <w:rFonts w:ascii="Calibri" w:hAnsi="Calibri" w:cs="Tahoma"/>
          <w:sz w:val="22"/>
          <w:szCs w:val="22"/>
        </w:rPr>
        <w:t xml:space="preserve">, z </w:t>
      </w:r>
      <w:proofErr w:type="spellStart"/>
      <w:r w:rsidR="000041DC">
        <w:rPr>
          <w:rFonts w:ascii="Calibri" w:hAnsi="Calibri" w:cs="Tahoma"/>
          <w:sz w:val="22"/>
          <w:szCs w:val="22"/>
        </w:rPr>
        <w:t>późn</w:t>
      </w:r>
      <w:proofErr w:type="spellEnd"/>
      <w:r w:rsidR="000041DC">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0041DC" w:rsidRPr="00B11D7E">
        <w:rPr>
          <w:rFonts w:ascii="Calibri" w:hAnsi="Calibri" w:cs="Tahoma"/>
          <w:b/>
          <w:sz w:val="22"/>
          <w:szCs w:val="22"/>
        </w:rPr>
        <w:t>90</w:t>
      </w:r>
      <w:r w:rsidRPr="00B11D7E">
        <w:rPr>
          <w:rFonts w:ascii="Calibri" w:hAnsi="Calibri" w:cs="Tahoma"/>
          <w:b/>
          <w:sz w:val="22"/>
          <w:szCs w:val="22"/>
        </w:rPr>
        <w:t xml:space="preserve"> % </w:t>
      </w:r>
      <w:r w:rsidRPr="00266762">
        <w:rPr>
          <w:rFonts w:ascii="Calibri" w:hAnsi="Calibri" w:cs="Tahoma"/>
          <w:sz w:val="22"/>
          <w:szCs w:val="22"/>
        </w:rPr>
        <w:t>całkowitych wydatków kwalifikowalnych Projektu, w tym:</w:t>
      </w:r>
    </w:p>
    <w:p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0041DC" w:rsidRPr="00B11D7E">
        <w:rPr>
          <w:rFonts w:ascii="Calibri" w:hAnsi="Calibri" w:cs="Tahoma"/>
          <w:b/>
          <w:iCs/>
          <w:sz w:val="22"/>
          <w:szCs w:val="22"/>
        </w:rPr>
        <w:t>10</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226086" w:rsidRPr="00850A86">
          <w:rPr>
            <w:rStyle w:val="Hipercze"/>
            <w:rFonts w:ascii="Calibri" w:hAnsi="Calibri" w:cs="Calibri"/>
            <w:sz w:val="22"/>
            <w:szCs w:val="22"/>
          </w:rPr>
          <w:t>www.rpo.pomorskie.eu</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370452">
      <w:pPr>
        <w:pStyle w:val="Tekstpodstawowy"/>
        <w:numPr>
          <w:ilvl w:val="0"/>
          <w:numId w:val="45"/>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stale troszczyć się o informacje przetwarzane w ramach realizacji niniejszej umowy oraz zachować szczególną ostrożność przy bieżącym korzystaniu z tych informacji, w tym zadbać </w:t>
      </w:r>
      <w:r>
        <w:rPr>
          <w:rFonts w:ascii="Calibri" w:hAnsi="Calibri" w:cs="Tahoma"/>
          <w:sz w:val="22"/>
          <w:szCs w:val="22"/>
        </w:rPr>
        <w:lastRenderedPageBreak/>
        <w:t>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Pr="004A3808">
          <w:rPr>
            <w:rStyle w:val="Hipercze"/>
            <w:rFonts w:ascii="Calibri" w:hAnsi="Calibri" w:cs="Calibri"/>
            <w:sz w:val="22"/>
            <w:szCs w:val="22"/>
          </w:rPr>
          <w:t>www.rpo.pomorskie.eu</w:t>
        </w:r>
      </w:hyperlink>
      <w:r w:rsidRPr="004A3808">
        <w:rPr>
          <w:rFonts w:ascii="Calibri" w:hAnsi="Calibri" w:cs="Tahoma"/>
          <w:sz w:val="22"/>
          <w:szCs w:val="22"/>
        </w:rPr>
        <w:t xml:space="preserve"> </w:t>
      </w:r>
      <w:bookmarkEnd w:id="8"/>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Pr="00986840"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245731" w:rsidRPr="007C2F02">
          <w:rPr>
            <w:rStyle w:val="Hipercze"/>
            <w:rFonts w:ascii="Calibri" w:hAnsi="Calibri" w:cs="Calibri"/>
            <w:sz w:val="22"/>
            <w:szCs w:val="22"/>
          </w:rPr>
          <w:t>www.rpo.pomorskie.eu</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9"/>
      <w:r w:rsidRPr="00C27CDC">
        <w:rPr>
          <w:rFonts w:ascii="Calibri" w:hAnsi="Calibri" w:cs="Calibri"/>
          <w:sz w:val="22"/>
          <w:szCs w:val="22"/>
        </w:rPr>
        <w:t>. Instytucja Zarządzająca zaleca Beneficjentowi zapoznanie się z tymi materiałami.</w:t>
      </w:r>
    </w:p>
    <w:p w:rsidR="000C72A9" w:rsidRPr="00266762" w:rsidRDefault="00823999" w:rsidP="00F85436">
      <w:pPr>
        <w:pStyle w:val="Nagwek2"/>
      </w:pPr>
      <w:r>
        <w:lastRenderedPageBreak/>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br/>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 xml:space="preserve">w wysokości … [należy </w:t>
      </w:r>
      <w:r w:rsidRPr="003E7BF2">
        <w:rPr>
          <w:rFonts w:ascii="Calibri" w:hAnsi="Calibri" w:cs="Tahoma"/>
          <w:i/>
          <w:sz w:val="22"/>
          <w:szCs w:val="22"/>
        </w:rPr>
        <w:lastRenderedPageBreak/>
        <w:t>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3F0C77">
        <w:rPr>
          <w:rFonts w:ascii="Calibri" w:hAnsi="Calibri" w:cs="Tahoma"/>
          <w:i/>
          <w:sz w:val="22"/>
          <w:szCs w:val="22"/>
        </w:rPr>
        <w:t>3</w:t>
      </w:r>
      <w:r w:rsidRPr="00C26AA5">
        <w:rPr>
          <w:rFonts w:ascii="Calibri" w:hAnsi="Calibri" w:cs="Tahoma"/>
          <w:i/>
          <w:sz w:val="22"/>
          <w:szCs w:val="22"/>
        </w:rPr>
        <w:t xml:space="preserve"> umowy oraz</w:t>
      </w:r>
      <w:r w:rsidRPr="00266762">
        <w:rPr>
          <w:rStyle w:val="Odwoanieprzypisudolnego"/>
          <w:rFonts w:ascii="Calibri" w:hAnsi="Calibri" w:cs="Tahoma"/>
          <w:sz w:val="22"/>
          <w:szCs w:val="22"/>
        </w:rPr>
        <w:footnoteReference w:id="19"/>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0"/>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A359E1" w:rsidRPr="00AD6315" w:rsidRDefault="00A359E1" w:rsidP="0037045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1, w terminie płatności, o którym mowa w § 2 pkt 5 rozporządzenia Ministra Finansów z dnia 21 grudnia 2012 r. w sprawie płatności w</w:t>
      </w:r>
      <w:r>
        <w:rPr>
          <w:rFonts w:ascii="Calibri" w:hAnsi="Calibri" w:cs="Tahoma"/>
          <w:sz w:val="22"/>
          <w:szCs w:val="22"/>
        </w:rPr>
        <w:t> </w:t>
      </w:r>
      <w:r w:rsidRPr="00266762">
        <w:rPr>
          <w:rFonts w:ascii="Calibri" w:hAnsi="Calibri" w:cs="Tahoma"/>
          <w:sz w:val="22"/>
          <w:szCs w:val="22"/>
        </w:rPr>
        <w:t>ramach programów finansowanych z udziałem środków europejskich oraz przekazywania informacji dotyczących tych płatności (Dz. U. z 20</w:t>
      </w:r>
      <w:r>
        <w:rPr>
          <w:rFonts w:ascii="Calibri" w:hAnsi="Calibri" w:cs="Tahoma"/>
          <w:sz w:val="22"/>
          <w:szCs w:val="22"/>
        </w:rPr>
        <w:t>21</w:t>
      </w:r>
      <w:r w:rsidRPr="00266762">
        <w:rPr>
          <w:rFonts w:ascii="Calibri" w:hAnsi="Calibri" w:cs="Tahoma"/>
          <w:sz w:val="22"/>
          <w:szCs w:val="22"/>
        </w:rPr>
        <w:t xml:space="preserve"> r. poz. </w:t>
      </w:r>
      <w:r>
        <w:rPr>
          <w:rFonts w:ascii="Calibri" w:hAnsi="Calibri" w:cs="Tahoma"/>
          <w:sz w:val="22"/>
          <w:szCs w:val="22"/>
        </w:rPr>
        <w:t>2081</w:t>
      </w:r>
      <w:r w:rsidR="00640234">
        <w:rPr>
          <w:rFonts w:ascii="Calibri" w:hAnsi="Calibri" w:cs="Tahoma"/>
          <w:sz w:val="22"/>
          <w:szCs w:val="22"/>
        </w:rPr>
        <w:t xml:space="preserve">, z </w:t>
      </w:r>
      <w:proofErr w:type="spellStart"/>
      <w:r w:rsidR="00640234">
        <w:rPr>
          <w:rFonts w:ascii="Calibri" w:hAnsi="Calibri" w:cs="Tahoma"/>
          <w:sz w:val="22"/>
          <w:szCs w:val="22"/>
        </w:rPr>
        <w:t>późn</w:t>
      </w:r>
      <w:proofErr w:type="spellEnd"/>
      <w:r w:rsidR="00640234">
        <w:rPr>
          <w:rFonts w:ascii="Calibri" w:hAnsi="Calibri" w:cs="Tahoma"/>
          <w:sz w:val="22"/>
          <w:szCs w:val="22"/>
        </w:rPr>
        <w:t>. zm.</w:t>
      </w:r>
      <w:r w:rsidRPr="00266762">
        <w:rPr>
          <w:rFonts w:ascii="Calibri" w:hAnsi="Calibri" w:cs="Tahoma"/>
          <w:sz w:val="22"/>
          <w:szCs w:val="22"/>
        </w:rPr>
        <w:t>);</w:t>
      </w:r>
    </w:p>
    <w:p w:rsidR="00A359E1" w:rsidRPr="00266762" w:rsidRDefault="00A359E1" w:rsidP="00370452">
      <w:pPr>
        <w:numPr>
          <w:ilvl w:val="1"/>
          <w:numId w:val="7"/>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434092">
        <w:rPr>
          <w:rFonts w:ascii="Calibri" w:hAnsi="Calibri" w:cs="Tahoma"/>
          <w:sz w:val="22"/>
          <w:szCs w:val="22"/>
        </w:rPr>
        <w:t>4</w:t>
      </w:r>
      <w:r w:rsidRPr="00266762">
        <w:rPr>
          <w:rFonts w:ascii="Calibri" w:hAnsi="Calibri" w:cs="Tahoma"/>
          <w:sz w:val="22"/>
          <w:szCs w:val="22"/>
        </w:rPr>
        <w:t xml:space="preserve"> pkt 2, co do zasady w terminie płatności, o</w:t>
      </w:r>
      <w:r>
        <w:rPr>
          <w:rFonts w:ascii="Calibri" w:hAnsi="Calibri" w:cs="Tahoma"/>
          <w:sz w:val="22"/>
          <w:szCs w:val="22"/>
        </w:rPr>
        <w:t> </w:t>
      </w:r>
      <w:r w:rsidRPr="00266762">
        <w:rPr>
          <w:rFonts w:ascii="Calibri" w:hAnsi="Calibri" w:cs="Tahoma"/>
          <w:sz w:val="22"/>
          <w:szCs w:val="22"/>
        </w:rPr>
        <w:t>którym mowa w pkt 1.</w:t>
      </w:r>
    </w:p>
    <w:p w:rsidR="00A359E1" w:rsidRDefault="00A359E1" w:rsidP="0037045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rsidR="00A359E1"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1, realizacji zlecenia płatności przez Bank Gospodarstwa Krajowego</w:t>
      </w:r>
      <w:r>
        <w:rPr>
          <w:rFonts w:ascii="Calibri" w:hAnsi="Calibri" w:cs="Tahoma"/>
          <w:color w:val="000000"/>
          <w:sz w:val="22"/>
          <w:szCs w:val="22"/>
        </w:rPr>
        <w:t>;</w:t>
      </w:r>
    </w:p>
    <w:p w:rsidR="00A359E1" w:rsidRPr="00237F95" w:rsidRDefault="00A359E1" w:rsidP="00370452">
      <w:pPr>
        <w:numPr>
          <w:ilvl w:val="1"/>
          <w:numId w:val="31"/>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434092">
        <w:rPr>
          <w:rFonts w:ascii="Calibri" w:hAnsi="Calibri" w:cs="Tahoma"/>
          <w:color w:val="000000"/>
          <w:sz w:val="22"/>
          <w:szCs w:val="22"/>
        </w:rPr>
        <w:t>4</w:t>
      </w:r>
      <w:r w:rsidRPr="00237F95">
        <w:rPr>
          <w:rFonts w:ascii="Calibri" w:hAnsi="Calibri" w:cs="Tahoma"/>
          <w:color w:val="000000"/>
          <w:sz w:val="22"/>
          <w:szCs w:val="22"/>
        </w:rPr>
        <w:t xml:space="preserve"> pkt 2, dostępności środków na finansowanie Działania na rachunku bankowym Instytucji Zarządzającej.</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pkt 1 i 2</w:t>
      </w:r>
      <w:r w:rsidR="00434092">
        <w:rPr>
          <w:rFonts w:ascii="Calibri" w:hAnsi="Calibri" w:cs="Tahoma"/>
          <w:sz w:val="22"/>
          <w:szCs w:val="22"/>
        </w:rPr>
        <w:t>,</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lastRenderedPageBreak/>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1"/>
      </w:r>
      <w:r w:rsidR="00722F5C" w:rsidRPr="00722F5C">
        <w:rPr>
          <w:rFonts w:ascii="Calibri" w:hAnsi="Calibri" w:cs="Tahoma"/>
          <w:i/>
          <w:sz w:val="22"/>
          <w:szCs w:val="22"/>
        </w:rPr>
        <w:t xml:space="preserve">, </w:t>
      </w:r>
      <w:r w:rsidR="00722F5C" w:rsidRPr="00541E0D">
        <w:rPr>
          <w:rFonts w:ascii="Calibri" w:hAnsi="Calibri" w:cs="Tahoma"/>
          <w:i/>
          <w:sz w:val="22"/>
          <w:szCs w:val="22"/>
        </w:rPr>
        <w:t xml:space="preserve">jednak nie wcześniej niż </w:t>
      </w:r>
      <w:r w:rsidR="00684521">
        <w:rPr>
          <w:rFonts w:ascii="Calibri" w:hAnsi="Calibri" w:cs="Tahoma"/>
          <w:i/>
          <w:sz w:val="22"/>
          <w:szCs w:val="22"/>
        </w:rPr>
        <w:t xml:space="preserve">w </w:t>
      </w:r>
      <w:r w:rsidR="00722F5C" w:rsidRPr="00541E0D">
        <w:rPr>
          <w:rFonts w:ascii="Calibri" w:hAnsi="Calibri" w:cs="Tahoma"/>
          <w:i/>
          <w:sz w:val="22"/>
          <w:szCs w:val="22"/>
        </w:rPr>
        <w:t>termin</w:t>
      </w:r>
      <w:r w:rsidR="00684521">
        <w:rPr>
          <w:rFonts w:ascii="Calibri" w:hAnsi="Calibri" w:cs="Tahoma"/>
          <w:i/>
          <w:sz w:val="22"/>
          <w:szCs w:val="22"/>
        </w:rPr>
        <w:t>ie</w:t>
      </w:r>
      <w:r w:rsidR="00722F5C" w:rsidRPr="00541E0D">
        <w:rPr>
          <w:rFonts w:ascii="Calibri" w:hAnsi="Calibri" w:cs="Tahoma"/>
          <w:i/>
          <w:sz w:val="22"/>
          <w:szCs w:val="22"/>
        </w:rPr>
        <w:t xml:space="preserve"> złożenia zabezpieczenia, o którym mowa w § 1</w:t>
      </w:r>
      <w:r w:rsidR="003F0C77">
        <w:rPr>
          <w:rFonts w:ascii="Calibri" w:hAnsi="Calibri" w:cs="Tahoma"/>
          <w:i/>
          <w:sz w:val="22"/>
          <w:szCs w:val="22"/>
        </w:rPr>
        <w:t>3</w:t>
      </w:r>
      <w:r w:rsidR="00722F5C" w:rsidRPr="00541E0D">
        <w:rPr>
          <w:rFonts w:ascii="Calibri" w:hAnsi="Calibri" w:cs="Tahoma"/>
          <w:i/>
          <w:sz w:val="22"/>
          <w:szCs w:val="22"/>
        </w:rPr>
        <w:t xml:space="preserve"> umowy</w:t>
      </w:r>
      <w:r w:rsidR="00722F5C" w:rsidRPr="00541E0D">
        <w:rPr>
          <w:rStyle w:val="Odwoanieprzypisudolnego"/>
          <w:rFonts w:ascii="Calibri" w:hAnsi="Calibri" w:cs="Tahoma"/>
          <w:i/>
          <w:sz w:val="22"/>
          <w:szCs w:val="22"/>
        </w:rPr>
        <w:footnoteReference w:id="22"/>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4"/>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5"/>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6"/>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lastRenderedPageBreak/>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7"/>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8"/>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w:t>
      </w:r>
      <w:r w:rsidRPr="00266762">
        <w:rPr>
          <w:rFonts w:ascii="Calibri" w:hAnsi="Calibri" w:cs="Tahoma"/>
          <w:sz w:val="22"/>
          <w:szCs w:val="22"/>
        </w:rPr>
        <w:lastRenderedPageBreak/>
        <w:t>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w:t>
      </w:r>
      <w:proofErr w:type="spellStart"/>
      <w:r w:rsidR="004D0B7F">
        <w:rPr>
          <w:rFonts w:ascii="Calibri" w:hAnsi="Calibri" w:cs="Tahoma"/>
          <w:sz w:val="22"/>
          <w:szCs w:val="22"/>
        </w:rPr>
        <w:t>poaudytowych</w:t>
      </w:r>
      <w:proofErr w:type="spellEnd"/>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A43EDF">
        <w:rPr>
          <w:rFonts w:ascii="Calibri" w:hAnsi="Calibri" w:cs="Tahoma"/>
          <w:sz w:val="22"/>
          <w:szCs w:val="22"/>
        </w:rPr>
        <w:t>4</w:t>
      </w:r>
      <w:r w:rsidRPr="00266762">
        <w:rPr>
          <w:rFonts w:ascii="Calibri" w:hAnsi="Calibri" w:cs="Tahoma"/>
          <w:sz w:val="22"/>
          <w:szCs w:val="22"/>
        </w:rPr>
        <w:t xml:space="preserve"> </w:t>
      </w:r>
      <w:r w:rsidRPr="006F1F1B">
        <w:rPr>
          <w:rFonts w:ascii="Calibri" w:hAnsi="Calibri" w:cs="Tahoma"/>
          <w:sz w:val="22"/>
          <w:szCs w:val="22"/>
        </w:rPr>
        <w:t xml:space="preserve">pkt 1 i 2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9"/>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lastRenderedPageBreak/>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 xml:space="preserve"> 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0"/>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1"/>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6F1F1B">
        <w:rPr>
          <w:rFonts w:ascii="Calibri" w:hAnsi="Calibri" w:cs="Tahoma"/>
          <w:sz w:val="22"/>
          <w:szCs w:val="22"/>
        </w:rPr>
        <w:t>3</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F1F1B">
        <w:rPr>
          <w:rFonts w:ascii="Calibri" w:hAnsi="Calibri" w:cs="Tahoma"/>
          <w:sz w:val="22"/>
          <w:szCs w:val="22"/>
        </w:rPr>
        <w:t>775</w:t>
      </w:r>
      <w:r w:rsidR="003A4CC7">
        <w:rPr>
          <w:rFonts w:ascii="Calibri" w:hAnsi="Calibri" w:cs="Tahoma"/>
          <w:sz w:val="22"/>
          <w:szCs w:val="22"/>
        </w:rPr>
        <w:t>, z</w:t>
      </w:r>
      <w:r w:rsidR="00C93FE2">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lastRenderedPageBreak/>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3"/>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4"/>
      </w:r>
      <w:r w:rsidRPr="00AE0EAF">
        <w:rPr>
          <w:rFonts w:ascii="Calibri" w:hAnsi="Calibri" w:cs="Tahoma"/>
          <w:i/>
          <w:sz w:val="22"/>
          <w:szCs w:val="22"/>
        </w:rPr>
        <w:t>.</w:t>
      </w:r>
    </w:p>
    <w:p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lastRenderedPageBreak/>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5"/>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Pr="00A652BC">
        <w:rPr>
          <w:rFonts w:ascii="Calibri" w:hAnsi="Calibri" w:cs="Tahoma"/>
          <w:i/>
          <w:sz w:val="22"/>
          <w:szCs w:val="22"/>
        </w:rPr>
        <w:t>de minimis</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7"/>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w:t>
      </w:r>
      <w:r w:rsidR="00AB7CE7" w:rsidRPr="007F70D9">
        <w:rPr>
          <w:rFonts w:ascii="Calibri" w:hAnsi="Calibri" w:cs="Calibri"/>
          <w:sz w:val="22"/>
          <w:szCs w:val="22"/>
        </w:rPr>
        <w:lastRenderedPageBreak/>
        <w:t>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zastosowanie 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8"/>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9"/>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0"/>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1"/>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lastRenderedPageBreak/>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systemów teleinformatycznych związanych 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lastRenderedPageBreak/>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 xml:space="preserve">powierzenia przetwarzania danych </w:t>
      </w:r>
      <w:r w:rsidRPr="00D41259">
        <w:rPr>
          <w:rFonts w:ascii="Calibri" w:hAnsi="Calibri" w:cs="Tahoma"/>
          <w:sz w:val="22"/>
          <w:szCs w:val="22"/>
        </w:rPr>
        <w:t xml:space="preserve">podmiotom przetwarzającym (w tym </w:t>
      </w:r>
      <w:r w:rsidRPr="00D41259">
        <w:rPr>
          <w:rFonts w:ascii="Calibri" w:hAnsi="Calibri" w:cs="Tahoma"/>
          <w:i/>
          <w:sz w:val="22"/>
          <w:szCs w:val="22"/>
        </w:rPr>
        <w:t>Partnerowi</w:t>
      </w:r>
      <w:r>
        <w:rPr>
          <w:rFonts w:ascii="Calibri" w:hAnsi="Calibri" w:cs="Tahoma"/>
          <w:i/>
          <w:sz w:val="22"/>
          <w:szCs w:val="22"/>
        </w:rPr>
        <w:t xml:space="preserve"> i</w:t>
      </w:r>
      <w:r w:rsidRPr="00D41259">
        <w:rPr>
          <w:rStyle w:val="Odwoanieprzypisudolnego"/>
          <w:rFonts w:ascii="Calibri" w:hAnsi="Calibri" w:cs="Tahoma"/>
          <w:sz w:val="22"/>
          <w:szCs w:val="22"/>
        </w:rPr>
        <w:footnoteReference w:id="44"/>
      </w:r>
      <w:r w:rsidR="000041DC">
        <w:rPr>
          <w:rFonts w:ascii="Calibri" w:hAnsi="Calibri" w:cs="Tahoma"/>
          <w:sz w:val="22"/>
          <w:szCs w:val="22"/>
        </w:rPr>
        <w:t> </w:t>
      </w:r>
      <w:r w:rsidRPr="00D41259">
        <w:rPr>
          <w:rFonts w:ascii="Calibri" w:hAnsi="Calibri" w:cs="Tahoma"/>
          <w:sz w:val="22"/>
          <w:szCs w:val="22"/>
        </w:rPr>
        <w:t>wykonawcom)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lastRenderedPageBreak/>
        <w:t>W zakresie nieuregulowanym niniejszą umową zastosowanie mają przepisy prawa powszechnie obowiązującego dotyczące ochrony danych osobowych, w szczególności RODO.</w:t>
      </w:r>
    </w:p>
    <w:p w:rsidR="00772BEC" w:rsidRDefault="005731DB" w:rsidP="004F3036">
      <w:pPr>
        <w:pStyle w:val="Nagwek2"/>
      </w:pPr>
      <w:r>
        <w:t>Promocja Projektu</w:t>
      </w:r>
    </w:p>
    <w:p w:rsidR="004F3036" w:rsidRPr="00AF4398" w:rsidRDefault="004F3036" w:rsidP="0094714E">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5"/>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w:t>
      </w:r>
      <w:r w:rsidR="009208F1">
        <w:rPr>
          <w:rFonts w:ascii="Calibri" w:eastAsia="Calibri" w:hAnsi="Calibri" w:cs="Calibri"/>
          <w:sz w:val="22"/>
          <w:szCs w:val="22"/>
          <w:lang w:eastAsia="en-US"/>
        </w:rPr>
        <w:lastRenderedPageBreak/>
        <w:t xml:space="preserve">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6"/>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1" w:history="1">
        <w:r w:rsidR="00EB3567" w:rsidRPr="00F15842">
          <w:rPr>
            <w:rStyle w:val="Hipercze"/>
            <w:rFonts w:ascii="Calibri" w:hAnsi="Calibri" w:cs="Calibri"/>
            <w:sz w:val="22"/>
            <w:szCs w:val="22"/>
          </w:rPr>
          <w:t>www.rpo.pomorskie.eu</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4D7D42" w:rsidRDefault="004D7D42" w:rsidP="00A652BC">
      <w:pPr>
        <w:numPr>
          <w:ilvl w:val="0"/>
          <w:numId w:val="35"/>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w:t>
      </w:r>
      <w:r w:rsidR="00E44255">
        <w:rPr>
          <w:rFonts w:ascii="Calibri" w:eastAsia="Calibri" w:hAnsi="Calibri" w:cs="Calibri"/>
          <w:sz w:val="22"/>
          <w:szCs w:val="22"/>
          <w:lang w:eastAsia="en-US"/>
        </w:rPr>
        <w:t> </w:t>
      </w:r>
      <w:r w:rsidRPr="00224F2D">
        <w:rPr>
          <w:rFonts w:ascii="Calibri" w:eastAsia="Calibri" w:hAnsi="Calibri" w:cs="Calibri"/>
          <w:sz w:val="22"/>
          <w:szCs w:val="22"/>
          <w:lang w:eastAsia="en-US"/>
        </w:rPr>
        <w:t>publikowanym przez Instytucję Zarządzającą wykazie projektów.</w:t>
      </w:r>
    </w:p>
    <w:p w:rsidR="00BD07C5" w:rsidRPr="008F1727" w:rsidRDefault="00E33E87" w:rsidP="00A652BC">
      <w:pPr>
        <w:numPr>
          <w:ilvl w:val="0"/>
          <w:numId w:val="35"/>
        </w:numPr>
        <w:spacing w:after="60" w:line="276" w:lineRule="auto"/>
        <w:ind w:left="284" w:hanging="284"/>
        <w:rPr>
          <w:rFonts w:ascii="Calibri" w:hAnsi="Calibri"/>
          <w:sz w:val="22"/>
          <w:szCs w:val="22"/>
        </w:rPr>
      </w:pPr>
      <w:r w:rsidRPr="008F1727">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w:t>
      </w:r>
      <w:r w:rsidR="007E6AC1" w:rsidRPr="008F1727">
        <w:rPr>
          <w:rFonts w:ascii="Calibri" w:eastAsia="Calibri" w:hAnsi="Calibri" w:cs="Calibri"/>
          <w:sz w:val="22"/>
          <w:szCs w:val="22"/>
          <w:lang w:eastAsia="en-US" w:bidi="pl-PL"/>
        </w:rPr>
        <w:t> </w:t>
      </w:r>
      <w:r w:rsidRPr="008F1727">
        <w:rPr>
          <w:rFonts w:ascii="Calibri" w:eastAsia="Calibri" w:hAnsi="Calibri" w:cs="Calibri"/>
          <w:sz w:val="22"/>
          <w:szCs w:val="22"/>
          <w:lang w:eastAsia="en-US" w:bidi="pl-PL"/>
        </w:rPr>
        <w:t>budżetu państwa lub państwowych funduszy celowych (Dz. U. poz. 953</w:t>
      </w:r>
      <w:r w:rsidR="00CC3CE5" w:rsidRPr="008F1727">
        <w:rPr>
          <w:rFonts w:ascii="Calibri" w:eastAsia="Calibri" w:hAnsi="Calibri" w:cs="Calibri"/>
          <w:sz w:val="22"/>
          <w:szCs w:val="22"/>
          <w:lang w:eastAsia="en-US" w:bidi="pl-PL"/>
        </w:rPr>
        <w:t xml:space="preserve">, z </w:t>
      </w:r>
      <w:proofErr w:type="spellStart"/>
      <w:r w:rsidR="00CC3CE5" w:rsidRPr="008F1727">
        <w:rPr>
          <w:rFonts w:ascii="Calibri" w:eastAsia="Calibri" w:hAnsi="Calibri" w:cs="Calibri"/>
          <w:sz w:val="22"/>
          <w:szCs w:val="22"/>
          <w:lang w:eastAsia="en-US" w:bidi="pl-PL"/>
        </w:rPr>
        <w:t>późn</w:t>
      </w:r>
      <w:proofErr w:type="spellEnd"/>
      <w:r w:rsidR="00CC3CE5" w:rsidRPr="008F1727">
        <w:rPr>
          <w:rFonts w:ascii="Calibri" w:eastAsia="Calibri" w:hAnsi="Calibri" w:cs="Calibri"/>
          <w:sz w:val="22"/>
          <w:szCs w:val="22"/>
          <w:lang w:eastAsia="en-US" w:bidi="pl-PL"/>
        </w:rPr>
        <w:t>. zm.</w:t>
      </w:r>
      <w:r w:rsidRPr="008F1727">
        <w:rPr>
          <w:rFonts w:ascii="Calibri" w:eastAsia="Calibri" w:hAnsi="Calibri" w:cs="Calibri"/>
          <w:sz w:val="22"/>
          <w:szCs w:val="22"/>
          <w:lang w:eastAsia="en-US" w:bidi="pl-PL"/>
        </w:rPr>
        <w:t>).</w:t>
      </w: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lastRenderedPageBreak/>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7"/>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8"/>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w:t>
      </w:r>
      <w:proofErr w:type="spellStart"/>
      <w:r w:rsidR="004D0B7F">
        <w:rPr>
          <w:rFonts w:ascii="Calibri" w:hAnsi="Calibri" w:cs="Tahoma"/>
          <w:sz w:val="22"/>
          <w:szCs w:val="22"/>
        </w:rPr>
        <w:t>poaudytowych</w:t>
      </w:r>
      <w:proofErr w:type="spellEnd"/>
      <w:r w:rsidR="004D0B7F">
        <w:rPr>
          <w:rFonts w:ascii="Calibri" w:hAnsi="Calibri" w:cs="Tahoma"/>
          <w:sz w:val="22"/>
          <w:szCs w:val="22"/>
        </w:rPr>
        <w:t xml:space="preserve">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lastRenderedPageBreak/>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9"/>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50"/>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lastRenderedPageBreak/>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1"/>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0B6CF1">
        <w:rPr>
          <w:rFonts w:ascii="Calibri" w:hAnsi="Calibri" w:cs="Tahoma"/>
          <w:sz w:val="22"/>
          <w:szCs w:val="22"/>
        </w:rPr>
        <w:t>3</w:t>
      </w:r>
      <w:r>
        <w:rPr>
          <w:rFonts w:ascii="Calibri" w:hAnsi="Calibri" w:cs="Tahoma"/>
          <w:sz w:val="22"/>
          <w:szCs w:val="22"/>
        </w:rPr>
        <w:t xml:space="preserve"> r. poz. </w:t>
      </w:r>
      <w:r w:rsidR="000B6CF1">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8F1727">
        <w:rPr>
          <w:rFonts w:ascii="Calibri" w:hAnsi="Calibri"/>
          <w:sz w:val="22"/>
          <w:szCs w:val="22"/>
        </w:rPr>
        <w:t>3</w:t>
      </w:r>
      <w:r w:rsidRPr="00266762">
        <w:rPr>
          <w:rFonts w:ascii="Calibri" w:hAnsi="Calibri"/>
          <w:sz w:val="22"/>
          <w:szCs w:val="22"/>
        </w:rPr>
        <w:t xml:space="preserve"> r. poz. </w:t>
      </w:r>
      <w:r w:rsidR="008F1727">
        <w:rPr>
          <w:rFonts w:ascii="Calibri" w:hAnsi="Calibri"/>
          <w:sz w:val="22"/>
          <w:szCs w:val="22"/>
        </w:rPr>
        <w:t>1610</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lastRenderedPageBreak/>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lastRenderedPageBreak/>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2"/>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BD57FB"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5"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5"/>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40E" w:rsidRDefault="0001540E">
      <w:r>
        <w:separator/>
      </w:r>
    </w:p>
  </w:endnote>
  <w:endnote w:type="continuationSeparator" w:id="0">
    <w:p w:rsidR="0001540E" w:rsidRDefault="0001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Default="0001540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1540E" w:rsidRDefault="0001540E"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Default="0001540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01540E" w:rsidRDefault="0001540E"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Pr="0061767F" w:rsidRDefault="0001540E"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01540E" w:rsidRDefault="0001540E"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40E" w:rsidRDefault="0001540E">
      <w:r>
        <w:separator/>
      </w:r>
    </w:p>
  </w:footnote>
  <w:footnote w:type="continuationSeparator" w:id="0">
    <w:p w:rsidR="0001540E" w:rsidRDefault="0001540E">
      <w:r>
        <w:continuationSeparator/>
      </w:r>
    </w:p>
  </w:footnote>
  <w:footnote w:id="1">
    <w:p w:rsidR="0001540E" w:rsidRPr="005D7CDE" w:rsidRDefault="0001540E"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01540E" w:rsidRPr="00E37B18" w:rsidRDefault="0001540E"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01540E" w:rsidRPr="00BE605C" w:rsidRDefault="0001540E">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01540E" w:rsidRPr="005D7CDE" w:rsidRDefault="0001540E"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01540E" w:rsidRPr="002E459D" w:rsidRDefault="0001540E"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01540E" w:rsidRPr="005D7CDE" w:rsidRDefault="0001540E"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01540E" w:rsidRPr="00226086" w:rsidRDefault="0001540E"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01540E" w:rsidRPr="00226086" w:rsidRDefault="0001540E"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01540E" w:rsidRPr="00226086" w:rsidRDefault="0001540E">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01540E" w:rsidRPr="005D7CDE" w:rsidRDefault="0001540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01540E" w:rsidRPr="005D7CDE" w:rsidRDefault="0001540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01540E" w:rsidRPr="00DA29EF" w:rsidRDefault="0001540E"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01540E" w:rsidRPr="000F0E73" w:rsidRDefault="0001540E"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01540E" w:rsidRPr="000F0E73" w:rsidRDefault="0001540E"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01540E" w:rsidRPr="003F406C" w:rsidRDefault="0001540E">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01540E" w:rsidRPr="003F406C" w:rsidRDefault="0001540E"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01540E" w:rsidRPr="003F406C" w:rsidRDefault="0001540E"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01540E" w:rsidRPr="0025539F" w:rsidRDefault="0001540E"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01540E" w:rsidRPr="005D7CDE" w:rsidRDefault="0001540E" w:rsidP="00A359E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jeśli nie dotyczy.</w:t>
      </w:r>
    </w:p>
  </w:footnote>
  <w:footnote w:id="20">
    <w:p w:rsidR="0001540E" w:rsidRPr="00BC6D75" w:rsidRDefault="0001540E">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1">
    <w:p w:rsidR="0001540E" w:rsidRPr="005D7CDE" w:rsidRDefault="0001540E"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2">
    <w:p w:rsidR="0001540E" w:rsidRPr="00722F5C" w:rsidRDefault="0001540E">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cs="Calibri"/>
          <w:sz w:val="22"/>
          <w:szCs w:val="22"/>
        </w:rPr>
        <w:t>Należy w</w:t>
      </w:r>
      <w:r w:rsidRPr="00722F5C">
        <w:rPr>
          <w:rFonts w:ascii="Calibri" w:hAnsi="Calibri"/>
          <w:sz w:val="22"/>
          <w:szCs w:val="22"/>
        </w:rPr>
        <w:t>ykreślić, jeśli nie dotyczy.</w:t>
      </w:r>
    </w:p>
  </w:footnote>
  <w:footnote w:id="23">
    <w:p w:rsidR="0001540E" w:rsidRPr="005D7CDE" w:rsidRDefault="0001540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4">
    <w:p w:rsidR="0001540E" w:rsidRPr="005D7CDE" w:rsidRDefault="0001540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5">
    <w:p w:rsidR="0001540E" w:rsidRPr="004F1D80" w:rsidRDefault="0001540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6">
    <w:p w:rsidR="0001540E" w:rsidRPr="00651DE4" w:rsidRDefault="0001540E">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7">
    <w:p w:rsidR="0001540E" w:rsidRPr="00632E0D" w:rsidRDefault="0001540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8">
    <w:p w:rsidR="0001540E" w:rsidRPr="00632E0D" w:rsidRDefault="0001540E"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9">
    <w:p w:rsidR="0001540E" w:rsidRPr="001800C8" w:rsidRDefault="0001540E">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0">
    <w:p w:rsidR="0001540E" w:rsidRPr="001176E0" w:rsidRDefault="0001540E">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1">
    <w:p w:rsidR="0001540E" w:rsidRPr="00F8187F" w:rsidRDefault="0001540E">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2">
    <w:p w:rsidR="0001540E" w:rsidRPr="005D7CDE" w:rsidRDefault="0001540E"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3">
    <w:p w:rsidR="0001540E" w:rsidRPr="005D7CDE" w:rsidRDefault="0001540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4">
    <w:p w:rsidR="0001540E" w:rsidRPr="005D7CDE" w:rsidRDefault="0001540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5">
    <w:p w:rsidR="0001540E" w:rsidRPr="004F264D" w:rsidRDefault="0001540E"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6">
    <w:p w:rsidR="0001540E" w:rsidRPr="007A0B59" w:rsidRDefault="0001540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7">
    <w:p w:rsidR="0001540E" w:rsidRPr="007A0B59" w:rsidRDefault="0001540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8">
    <w:p w:rsidR="0001540E" w:rsidRPr="0094162C" w:rsidRDefault="0001540E">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9">
    <w:p w:rsidR="0001540E" w:rsidRPr="0094162C" w:rsidRDefault="0001540E">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0">
    <w:p w:rsidR="0001540E" w:rsidRPr="00B41F09" w:rsidRDefault="0001540E"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1">
    <w:p w:rsidR="0001540E" w:rsidRPr="007A0B59" w:rsidRDefault="0001540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2">
    <w:p w:rsidR="0001540E" w:rsidRPr="00F8187F" w:rsidRDefault="0001540E"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3">
    <w:p w:rsidR="0001540E" w:rsidRPr="00F8187F" w:rsidRDefault="0001540E"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4">
    <w:p w:rsidR="0001540E" w:rsidRDefault="0001540E" w:rsidP="00C410A0">
      <w:pPr>
        <w:pStyle w:val="Tekstprzypisudolnego"/>
      </w:pPr>
      <w:r w:rsidRPr="00CE0134">
        <w:rPr>
          <w:rStyle w:val="Odwoanieprzypisudolnego"/>
          <w:rFonts w:ascii="Calibri" w:hAnsi="Calibri" w:cs="Calibri"/>
          <w:sz w:val="22"/>
          <w:szCs w:val="22"/>
        </w:rPr>
        <w:footnoteRef/>
      </w:r>
      <w:r w:rsidRPr="00CE0134">
        <w:rPr>
          <w:rFonts w:ascii="Calibri" w:hAnsi="Calibri" w:cs="Calibri"/>
          <w:sz w:val="22"/>
          <w:szCs w:val="22"/>
        </w:rPr>
        <w:t xml:space="preserve"> Należy wykreślić, w przypadku gdy Projekt nie jest realizowany w ramach partnerstwa.</w:t>
      </w:r>
    </w:p>
  </w:footnote>
  <w:footnote w:id="45">
    <w:p w:rsidR="0001540E" w:rsidRPr="00277C2C" w:rsidRDefault="0001540E"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6">
    <w:p w:rsidR="0001540E" w:rsidRPr="009B500C" w:rsidRDefault="0001540E"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7">
    <w:p w:rsidR="0001540E" w:rsidRPr="007A0B59" w:rsidRDefault="0001540E"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8">
    <w:p w:rsidR="0001540E" w:rsidRPr="008510C6" w:rsidRDefault="0001540E"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9">
    <w:p w:rsidR="0001540E" w:rsidRPr="008510C6" w:rsidRDefault="0001540E">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50">
    <w:p w:rsidR="0001540E" w:rsidRPr="00370452" w:rsidRDefault="0001540E">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1">
    <w:p w:rsidR="0001540E" w:rsidRPr="007A0B59" w:rsidRDefault="0001540E"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52">
    <w:p w:rsidR="0001540E" w:rsidRPr="00A27F01" w:rsidRDefault="0001540E">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40E" w:rsidRDefault="0001540E" w:rsidP="00142A53">
    <w:pPr>
      <w:pStyle w:val="Nagwek"/>
    </w:pPr>
    <w:r w:rsidRPr="00213B4E">
      <w:rPr>
        <w:noProof/>
      </w:rPr>
      <w:drawing>
        <wp:inline distT="0" distB="0" distL="0" distR="0">
          <wp:extent cx="6624320" cy="680720"/>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32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41"/>
  </w:num>
  <w:num w:numId="3">
    <w:abstractNumId w:val="48"/>
  </w:num>
  <w:num w:numId="4">
    <w:abstractNumId w:val="21"/>
  </w:num>
  <w:num w:numId="5">
    <w:abstractNumId w:val="2"/>
  </w:num>
  <w:num w:numId="6">
    <w:abstractNumId w:val="15"/>
  </w:num>
  <w:num w:numId="7">
    <w:abstractNumId w:val="46"/>
  </w:num>
  <w:num w:numId="8">
    <w:abstractNumId w:val="26"/>
  </w:num>
  <w:num w:numId="9">
    <w:abstractNumId w:val="4"/>
  </w:num>
  <w:num w:numId="10">
    <w:abstractNumId w:val="43"/>
  </w:num>
  <w:num w:numId="11">
    <w:abstractNumId w:val="3"/>
  </w:num>
  <w:num w:numId="12">
    <w:abstractNumId w:val="45"/>
  </w:num>
  <w:num w:numId="13">
    <w:abstractNumId w:val="5"/>
  </w:num>
  <w:num w:numId="14">
    <w:abstractNumId w:val="16"/>
  </w:num>
  <w:num w:numId="15">
    <w:abstractNumId w:val="25"/>
  </w:num>
  <w:num w:numId="16">
    <w:abstractNumId w:val="24"/>
  </w:num>
  <w:num w:numId="17">
    <w:abstractNumId w:val="30"/>
  </w:num>
  <w:num w:numId="18">
    <w:abstractNumId w:val="27"/>
  </w:num>
  <w:num w:numId="19">
    <w:abstractNumId w:val="17"/>
  </w:num>
  <w:num w:numId="20">
    <w:abstractNumId w:val="23"/>
  </w:num>
  <w:num w:numId="21">
    <w:abstractNumId w:val="20"/>
  </w:num>
  <w:num w:numId="22">
    <w:abstractNumId w:val="8"/>
  </w:num>
  <w:num w:numId="23">
    <w:abstractNumId w:val="12"/>
  </w:num>
  <w:num w:numId="24">
    <w:abstractNumId w:val="29"/>
  </w:num>
  <w:num w:numId="25">
    <w:abstractNumId w:val="31"/>
  </w:num>
  <w:num w:numId="26">
    <w:abstractNumId w:val="6"/>
  </w:num>
  <w:num w:numId="27">
    <w:abstractNumId w:val="1"/>
  </w:num>
  <w:num w:numId="28">
    <w:abstractNumId w:val="0"/>
  </w:num>
  <w:num w:numId="29">
    <w:abstractNumId w:val="42"/>
  </w:num>
  <w:num w:numId="30">
    <w:abstractNumId w:val="35"/>
  </w:num>
  <w:num w:numId="31">
    <w:abstractNumId w:val="40"/>
  </w:num>
  <w:num w:numId="32">
    <w:abstractNumId w:val="7"/>
  </w:num>
  <w:num w:numId="33">
    <w:abstractNumId w:val="18"/>
  </w:num>
  <w:num w:numId="34">
    <w:abstractNumId w:val="9"/>
  </w:num>
  <w:num w:numId="35">
    <w:abstractNumId w:val="14"/>
  </w:num>
  <w:num w:numId="36">
    <w:abstractNumId w:val="13"/>
  </w:num>
  <w:num w:numId="37">
    <w:abstractNumId w:val="22"/>
  </w:num>
  <w:num w:numId="38">
    <w:abstractNumId w:val="34"/>
  </w:num>
  <w:num w:numId="39">
    <w:abstractNumId w:val="37"/>
  </w:num>
  <w:num w:numId="40">
    <w:abstractNumId w:val="28"/>
  </w:num>
  <w:num w:numId="41">
    <w:abstractNumId w:val="19"/>
  </w:num>
  <w:num w:numId="42">
    <w:abstractNumId w:val="32"/>
  </w:num>
  <w:num w:numId="43">
    <w:abstractNumId w:val="47"/>
  </w:num>
  <w:num w:numId="44">
    <w:abstractNumId w:val="38"/>
  </w:num>
  <w:num w:numId="45">
    <w:abstractNumId w:val="36"/>
  </w:num>
  <w:num w:numId="46">
    <w:abstractNumId w:val="39"/>
  </w:num>
  <w:num w:numId="47">
    <w:abstractNumId w:val="44"/>
  </w:num>
  <w:num w:numId="48">
    <w:abstractNumId w:val="10"/>
  </w:num>
  <w:num w:numId="49">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7F84250-4438-4E7E-8AC0-1FE9EB15F1C0}"/>
  </w:docVars>
  <w:rsids>
    <w:rsidRoot w:val="00DE5CB2"/>
    <w:rsid w:val="000003F6"/>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A9C"/>
    <w:rsid w:val="00463DD3"/>
    <w:rsid w:val="00465113"/>
    <w:rsid w:val="00465A44"/>
    <w:rsid w:val="00465C43"/>
    <w:rsid w:val="004660A6"/>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D6B"/>
    <w:rsid w:val="004A4DF3"/>
    <w:rsid w:val="004A5579"/>
    <w:rsid w:val="004A6087"/>
    <w:rsid w:val="004A6594"/>
    <w:rsid w:val="004A7AA8"/>
    <w:rsid w:val="004B04E0"/>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928"/>
    <w:rsid w:val="00894B50"/>
    <w:rsid w:val="00894C6A"/>
    <w:rsid w:val="0089608F"/>
    <w:rsid w:val="008962DA"/>
    <w:rsid w:val="00896533"/>
    <w:rsid w:val="00897239"/>
    <w:rsid w:val="00897A3D"/>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7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4EF"/>
    <w:rsid w:val="00A66818"/>
    <w:rsid w:val="00A669AF"/>
    <w:rsid w:val="00A671B4"/>
    <w:rsid w:val="00A67404"/>
    <w:rsid w:val="00A67DA5"/>
    <w:rsid w:val="00A700BB"/>
    <w:rsid w:val="00A71B21"/>
    <w:rsid w:val="00A727A5"/>
    <w:rsid w:val="00A73648"/>
    <w:rsid w:val="00A7450A"/>
    <w:rsid w:val="00A7588F"/>
    <w:rsid w:val="00A75984"/>
    <w:rsid w:val="00A75D65"/>
    <w:rsid w:val="00A76278"/>
    <w:rsid w:val="00A762F0"/>
    <w:rsid w:val="00A7668D"/>
    <w:rsid w:val="00A76CE6"/>
    <w:rsid w:val="00A76EBE"/>
    <w:rsid w:val="00A80F39"/>
    <w:rsid w:val="00A81658"/>
    <w:rsid w:val="00A81779"/>
    <w:rsid w:val="00A81AEA"/>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61AD"/>
    <w:rsid w:val="00D063FD"/>
    <w:rsid w:val="00D0644E"/>
    <w:rsid w:val="00D0684F"/>
    <w:rsid w:val="00D075DE"/>
    <w:rsid w:val="00D10180"/>
    <w:rsid w:val="00D1094D"/>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68D"/>
    <w:rsid w:val="00F654F4"/>
    <w:rsid w:val="00F65797"/>
    <w:rsid w:val="00F65A84"/>
    <w:rsid w:val="00F660EF"/>
    <w:rsid w:val="00F66D0E"/>
    <w:rsid w:val="00F673EF"/>
    <w:rsid w:val="00F717B5"/>
    <w:rsid w:val="00F72509"/>
    <w:rsid w:val="00F72B33"/>
    <w:rsid w:val="00F72D3A"/>
    <w:rsid w:val="00F741BB"/>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rpo.pomorskie.eu"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po.pomorskie.eu"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po.pomorskie.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rpo.pomorskie.eu"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4250-4438-4E7E-8AC0-1FE9EB15F1C0}">
  <ds:schemaRefs>
    <ds:schemaRef ds:uri="http://www.w3.org/2001/XMLSchema"/>
  </ds:schemaRefs>
</ds:datastoreItem>
</file>

<file path=customXml/itemProps2.xml><?xml version="1.0" encoding="utf-8"?>
<ds:datastoreItem xmlns:ds="http://schemas.openxmlformats.org/officeDocument/2006/customXml" ds:itemID="{6EB694D6-7C2F-44FD-8F13-5C8FADCC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10454</Words>
  <Characters>66047</Characters>
  <Application>Microsoft Office Word</Application>
  <DocSecurity>0</DocSecurity>
  <Lines>550</Lines>
  <Paragraphs>152</Paragraphs>
  <ScaleCrop>false</ScaleCrop>
  <HeadingPairs>
    <vt:vector size="2" baseType="variant">
      <vt:variant>
        <vt:lpstr>Tytuł</vt:lpstr>
      </vt:variant>
      <vt:variant>
        <vt:i4>1</vt:i4>
      </vt:variant>
    </vt:vector>
  </HeadingPairs>
  <TitlesOfParts>
    <vt:vector size="1" baseType="lpstr">
      <vt:lpstr>Zał. do Regulaminu_wzór umowy o dofinanasowanie projektu ryczałtowego</vt:lpstr>
    </vt:vector>
  </TitlesOfParts>
  <Company>UMWP</Company>
  <LinksUpToDate>false</LinksUpToDate>
  <CharactersWithSpaces>76349</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 ryczałtowego</dc:title>
  <dc:subject/>
  <dc:creator>E.Nagrabska@pomorskie.eu</dc:creator>
  <cp:keywords>wzór;umowa; ryczałtowa;regulamin;załacznik</cp:keywords>
  <dc:description/>
  <cp:lastModifiedBy>Mazur Aleksandra</cp:lastModifiedBy>
  <cp:revision>8</cp:revision>
  <cp:lastPrinted>2023-02-13T13:31:00Z</cp:lastPrinted>
  <dcterms:created xsi:type="dcterms:W3CDTF">2023-10-19T12:00:00Z</dcterms:created>
  <dcterms:modified xsi:type="dcterms:W3CDTF">2023-11-14T09:17:00Z</dcterms:modified>
</cp:coreProperties>
</file>