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0C9" w:rsidRDefault="003150C9" w:rsidP="003150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210C17" w:rsidRPr="00210C17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2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2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210C17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210C17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83D0DAD-C628-4C25-A503-8C02BA4A7AB3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0C17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0C9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1896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D0DAD-C628-4C25-A503-8C02BA4A7AB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644F4AD-D49B-4A7D-BF9C-EF6BE664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1267/492/23 ZWP z dn. 26.10.2023 r.</dc:title>
  <dc:subject>Regulamin wyboru projektów - nabór dla Dz. 2.13.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2023-10-26T09:46:00Z</dcterms:created>
  <dcterms:modified xsi:type="dcterms:W3CDTF">2023-10-26T09:46:00Z</dcterms:modified>
</cp:coreProperties>
</file>