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4515C4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4265DE" w:rsidRPr="00414AA7">
        <w:rPr>
          <w:rFonts w:cstheme="minorHAnsi"/>
        </w:rPr>
        <w:t>4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03628C">
        <w:rPr>
          <w:rFonts w:cstheme="minorHAnsi"/>
        </w:rPr>
        <w:t>1157</w:t>
      </w:r>
      <w:r w:rsidR="001F6BEB" w:rsidRPr="001F6BEB">
        <w:rPr>
          <w:rFonts w:cstheme="minorHAnsi"/>
        </w:rPr>
        <w:t>/</w:t>
      </w:r>
      <w:r w:rsidR="0003628C">
        <w:rPr>
          <w:rFonts w:cstheme="minorHAnsi"/>
        </w:rPr>
        <w:t>485</w:t>
      </w:r>
      <w:r w:rsidR="001F6BEB" w:rsidRPr="001F6BEB">
        <w:rPr>
          <w:rFonts w:cstheme="minorHAnsi"/>
        </w:rPr>
        <w:t>/</w:t>
      </w:r>
      <w:r w:rsidR="0003628C">
        <w:rPr>
          <w:rFonts w:cstheme="minorHAnsi"/>
        </w:rPr>
        <w:t>23 u</w:t>
      </w:r>
      <w:r w:rsidR="00337634" w:rsidRPr="001F6BEB">
        <w:rPr>
          <w:rFonts w:cstheme="minorHAnsi"/>
        </w:rPr>
        <w:t xml:space="preserve">chwały </w:t>
      </w:r>
      <w:r w:rsidR="0025649C" w:rsidRPr="001F6BEB">
        <w:rPr>
          <w:rFonts w:cstheme="minorHAnsi"/>
        </w:rPr>
        <w:t xml:space="preserve">Zarządu Województwa </w:t>
      </w:r>
      <w:r w:rsidRPr="001F6BEB">
        <w:rPr>
          <w:rFonts w:cstheme="minorHAnsi"/>
        </w:rPr>
        <w:t xml:space="preserve">Pomorskiego </w:t>
      </w:r>
      <w:r w:rsidR="00337634" w:rsidRPr="001F6BEB">
        <w:rPr>
          <w:rFonts w:cstheme="minorHAnsi"/>
        </w:rPr>
        <w:t xml:space="preserve">z dnia </w:t>
      </w:r>
      <w:r w:rsidR="0003628C">
        <w:rPr>
          <w:rFonts w:cstheme="minorHAnsi"/>
        </w:rPr>
        <w:t>28 września 2023</w:t>
      </w:r>
      <w:r w:rsidR="00D35D57" w:rsidRPr="001F6BEB">
        <w:rPr>
          <w:rFonts w:cstheme="minorHAnsi"/>
        </w:rPr>
        <w:t xml:space="preserve"> </w:t>
      </w:r>
      <w:r w:rsidR="00A54C08" w:rsidRPr="001F6BEB">
        <w:rPr>
          <w:rFonts w:cstheme="minorHAnsi"/>
        </w:rPr>
        <w:t>r</w:t>
      </w:r>
      <w:r w:rsidR="00FA7A73" w:rsidRPr="001F6BEB">
        <w:rPr>
          <w:rFonts w:cstheme="minorHAnsi"/>
        </w:rPr>
        <w:t>.</w:t>
      </w:r>
    </w:p>
    <w:p w:rsidR="00EC7E1D" w:rsidRDefault="004265DE" w:rsidP="004515C4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</w:t>
      </w:r>
      <w:bookmarkStart w:id="1" w:name="_GoBack"/>
      <w:bookmarkEnd w:id="1"/>
      <w:r w:rsidR="00EC7E1D">
        <w:t xml:space="preserve">datków </w:t>
      </w:r>
      <w:r w:rsidR="00EC7E1D">
        <w:br/>
        <w:t>w ramach naboru dla Działania 6.</w:t>
      </w:r>
      <w:r w:rsidR="00EA7CC4">
        <w:t>1</w:t>
      </w:r>
      <w:r w:rsidR="00414AA7">
        <w:t>.</w:t>
      </w:r>
      <w:r w:rsidR="00EC7E1D">
        <w:t xml:space="preserve"> Infrastruktura </w:t>
      </w:r>
      <w:r w:rsidR="00EA7CC4">
        <w:t xml:space="preserve">edukacji przedszkolnej </w:t>
      </w:r>
      <w:r w:rsidR="00C119F6">
        <w:t>FEP 2021-2027</w:t>
      </w:r>
    </w:p>
    <w:p w:rsidR="003B2A4F" w:rsidRDefault="00330C30" w:rsidP="004515C4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:rsidR="003B2A4F" w:rsidRPr="00CF7B02" w:rsidRDefault="003B2A4F" w:rsidP="004515C4">
          <w:pPr>
            <w:pStyle w:val="Nagwekspisutreci"/>
            <w:spacing w:line="276" w:lineRule="auto"/>
          </w:pPr>
          <w:r w:rsidRPr="00CF7B02">
            <w:t>Spis treści</w:t>
          </w:r>
        </w:p>
        <w:p w:rsidR="00B27D8A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45591901" w:history="1">
            <w:r w:rsidR="00B27D8A" w:rsidRPr="00403FB1">
              <w:rPr>
                <w:rStyle w:val="Hipercze"/>
                <w:noProof/>
              </w:rPr>
              <w:t>1. Wydatki kwalifikowalne</w:t>
            </w:r>
            <w:r w:rsidR="00B27D8A">
              <w:rPr>
                <w:noProof/>
                <w:webHidden/>
              </w:rPr>
              <w:tab/>
            </w:r>
            <w:r w:rsidR="00B27D8A">
              <w:rPr>
                <w:noProof/>
                <w:webHidden/>
              </w:rPr>
              <w:fldChar w:fldCharType="begin"/>
            </w:r>
            <w:r w:rsidR="00B27D8A">
              <w:rPr>
                <w:noProof/>
                <w:webHidden/>
              </w:rPr>
              <w:instrText xml:space="preserve"> PAGEREF _Toc145591901 \h </w:instrText>
            </w:r>
            <w:r w:rsidR="00B27D8A">
              <w:rPr>
                <w:noProof/>
                <w:webHidden/>
              </w:rPr>
            </w:r>
            <w:r w:rsidR="00B27D8A">
              <w:rPr>
                <w:noProof/>
                <w:webHidden/>
              </w:rPr>
              <w:fldChar w:fldCharType="separate"/>
            </w:r>
            <w:r w:rsidR="00897170">
              <w:rPr>
                <w:noProof/>
                <w:webHidden/>
              </w:rPr>
              <w:t>3</w:t>
            </w:r>
            <w:r w:rsidR="00B27D8A">
              <w:rPr>
                <w:noProof/>
                <w:webHidden/>
              </w:rPr>
              <w:fldChar w:fldCharType="end"/>
            </w:r>
          </w:hyperlink>
        </w:p>
        <w:p w:rsidR="00B27D8A" w:rsidRDefault="0003628C">
          <w:pPr>
            <w:pStyle w:val="Spistreci2"/>
            <w:rPr>
              <w:rFonts w:cstheme="minorBidi"/>
              <w:noProof/>
            </w:rPr>
          </w:pPr>
          <w:hyperlink w:anchor="_Toc145591902" w:history="1">
            <w:r w:rsidR="00B27D8A" w:rsidRPr="00403FB1">
              <w:rPr>
                <w:rStyle w:val="Hipercze"/>
                <w:noProof/>
              </w:rPr>
              <w:t>2. Wydatki niekwalifikowalne</w:t>
            </w:r>
            <w:r w:rsidR="00B27D8A">
              <w:rPr>
                <w:noProof/>
                <w:webHidden/>
              </w:rPr>
              <w:tab/>
            </w:r>
            <w:r w:rsidR="00B27D8A">
              <w:rPr>
                <w:noProof/>
                <w:webHidden/>
              </w:rPr>
              <w:fldChar w:fldCharType="begin"/>
            </w:r>
            <w:r w:rsidR="00B27D8A">
              <w:rPr>
                <w:noProof/>
                <w:webHidden/>
              </w:rPr>
              <w:instrText xml:space="preserve"> PAGEREF _Toc145591902 \h </w:instrText>
            </w:r>
            <w:r w:rsidR="00B27D8A">
              <w:rPr>
                <w:noProof/>
                <w:webHidden/>
              </w:rPr>
            </w:r>
            <w:r w:rsidR="00B27D8A">
              <w:rPr>
                <w:noProof/>
                <w:webHidden/>
              </w:rPr>
              <w:fldChar w:fldCharType="separate"/>
            </w:r>
            <w:r w:rsidR="00897170">
              <w:rPr>
                <w:noProof/>
                <w:webHidden/>
              </w:rPr>
              <w:t>4</w:t>
            </w:r>
            <w:r w:rsidR="00B27D8A">
              <w:rPr>
                <w:noProof/>
                <w:webHidden/>
              </w:rPr>
              <w:fldChar w:fldCharType="end"/>
            </w:r>
          </w:hyperlink>
        </w:p>
        <w:p w:rsidR="003B2A4F" w:rsidRDefault="003B2A4F" w:rsidP="004515C4">
          <w:r>
            <w:rPr>
              <w:rFonts w:eastAsiaTheme="minorEastAsia"/>
              <w:szCs w:val="22"/>
            </w:rPr>
            <w:fldChar w:fldCharType="end"/>
          </w:r>
        </w:p>
      </w:sdtContent>
    </w:sdt>
    <w:p w:rsidR="00FB5E92" w:rsidRDefault="00FB5E92">
      <w:pPr>
        <w:spacing w:line="240" w:lineRule="auto"/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:rsidR="00EC7E1D" w:rsidRDefault="00EC7E1D" w:rsidP="004515C4">
      <w:pPr>
        <w:pStyle w:val="Nagwek2"/>
      </w:pPr>
      <w:bookmarkStart w:id="3" w:name="_Toc145591901"/>
      <w:r>
        <w:lastRenderedPageBreak/>
        <w:t>1. Wydatki kwalifikowalne</w:t>
      </w:r>
      <w:bookmarkEnd w:id="3"/>
    </w:p>
    <w:p w:rsidR="00E3477B" w:rsidRDefault="00E3477B" w:rsidP="00F66528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:rsidR="00EC7E1D" w:rsidRPr="00F66528" w:rsidRDefault="00EC7E1D" w:rsidP="00E3477B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 xml:space="preserve">odrozdziale 2.2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MFiPR) </w:t>
      </w:r>
      <w:r w:rsidRPr="00F66528">
        <w:rPr>
          <w:b/>
          <w:szCs w:val="22"/>
        </w:rPr>
        <w:t>dotyczących kwalifikowalności wydatków na lata 2021-2027</w:t>
      </w:r>
      <w:r w:rsidR="00823F41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:rsidR="00512FF6" w:rsidRDefault="00EC7E1D" w:rsidP="0076352D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 </w:t>
      </w:r>
      <w:r w:rsidR="00B4786F" w:rsidRPr="002D70D1">
        <w:rPr>
          <w:b/>
        </w:rPr>
        <w:t>koszty bezpośrednie</w:t>
      </w:r>
      <w:r w:rsidR="00B4786F">
        <w:t xml:space="preserve"> </w:t>
      </w:r>
      <w:r w:rsidRPr="00512FF6">
        <w:t>poniesione w ramach projektu:</w:t>
      </w:r>
      <w:bookmarkEnd w:id="0"/>
      <w:bookmarkEnd w:id="2"/>
    </w:p>
    <w:p w:rsidR="00512FF6" w:rsidRDefault="00D37D4A" w:rsidP="00C119F6">
      <w:pPr>
        <w:pStyle w:val="Akapitzlist"/>
        <w:numPr>
          <w:ilvl w:val="0"/>
          <w:numId w:val="2"/>
        </w:numPr>
        <w:ind w:left="357" w:hanging="357"/>
      </w:pPr>
      <w:r w:rsidRPr="00D37D4A">
        <w:t>koszt opracowania lub aktualizacji dokumentów i prac niezbędnych do przygotowania projektu m.in. studium wykonalności, koncepcja budowlana, projekt budowlany, projekt architektoniczny i</w:t>
      </w:r>
      <w:r w:rsidR="00887610">
        <w:t xml:space="preserve">  </w:t>
      </w:r>
      <w:r w:rsidRPr="00D37D4A">
        <w:t xml:space="preserve">wykonawczy, </w:t>
      </w:r>
      <w:r w:rsidR="0039335C">
        <w:t xml:space="preserve">badania konserwatorskie, </w:t>
      </w:r>
      <w:r w:rsidRPr="00D37D4A">
        <w:t>prace geodezyjne</w:t>
      </w:r>
      <w:r>
        <w:t>;</w:t>
      </w:r>
    </w:p>
    <w:p w:rsidR="00512FF6" w:rsidRDefault="00512FF6" w:rsidP="00285C1C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="00EC7E1D" w:rsidRPr="00516A90">
        <w:t>oszt</w:t>
      </w:r>
      <w:r w:rsidR="00EA7CC4">
        <w:t>y</w:t>
      </w:r>
      <w:r w:rsidR="00EC7E1D" w:rsidRPr="00516A90">
        <w:t xml:space="preserve"> budowy nowej infrastruktury</w:t>
      </w:r>
      <w:r w:rsidR="00EA7CC4">
        <w:t xml:space="preserve"> przedszkol</w:t>
      </w:r>
      <w:r w:rsidR="00481D6B">
        <w:t>nej</w:t>
      </w:r>
      <w:r w:rsidRPr="002D70D1">
        <w:t>;</w:t>
      </w:r>
    </w:p>
    <w:p w:rsidR="00FB15E4" w:rsidRDefault="00710CF1" w:rsidP="00490A79">
      <w:pPr>
        <w:pStyle w:val="Akapitzlist"/>
        <w:numPr>
          <w:ilvl w:val="0"/>
          <w:numId w:val="2"/>
        </w:numPr>
        <w:ind w:left="357" w:hanging="357"/>
      </w:pPr>
      <w:r>
        <w:t>koszt</w:t>
      </w:r>
      <w:r w:rsidR="00490A79">
        <w:t>y</w:t>
      </w:r>
      <w:r>
        <w:t xml:space="preserve"> </w:t>
      </w:r>
      <w:r w:rsidR="00512FF6">
        <w:t>p</w:t>
      </w:r>
      <w:r w:rsidR="00EC7E1D" w:rsidRPr="00516A90">
        <w:t>rzebudow</w:t>
      </w:r>
      <w:r>
        <w:t>y</w:t>
      </w:r>
      <w:r w:rsidR="00EC7E1D" w:rsidRPr="00516A90">
        <w:t>, rozbudow</w:t>
      </w:r>
      <w:r>
        <w:t>y</w:t>
      </w:r>
      <w:r w:rsidR="00EC7E1D" w:rsidRPr="00516A90">
        <w:t xml:space="preserve"> lub remont</w:t>
      </w:r>
      <w:r>
        <w:t>u</w:t>
      </w:r>
      <w:r w:rsidR="00EC7E1D" w:rsidRPr="00516A90">
        <w:t xml:space="preserve"> istniejącej infrastruktury </w:t>
      </w:r>
      <w:r w:rsidR="00EA7CC4">
        <w:t>przedszkoli i oddziałów przedszkolnych</w:t>
      </w:r>
      <w:r w:rsidR="002D76A1">
        <w:t xml:space="preserve"> (</w:t>
      </w:r>
      <w:r w:rsidR="002D76A1" w:rsidRPr="002D76A1">
        <w:t>samodzielnych obiektów i pomieszczeń zlokalizowanych w budynkach szkół</w:t>
      </w:r>
      <w:r w:rsidR="002D76A1">
        <w:t>)</w:t>
      </w:r>
      <w:r w:rsidR="00490A79">
        <w:t>;</w:t>
      </w:r>
    </w:p>
    <w:p w:rsidR="008F35CD" w:rsidRDefault="003871EE" w:rsidP="00490A79">
      <w:pPr>
        <w:pStyle w:val="Akapitzlist"/>
        <w:numPr>
          <w:ilvl w:val="0"/>
          <w:numId w:val="2"/>
        </w:numPr>
        <w:ind w:left="357" w:hanging="357"/>
      </w:pPr>
      <w:r w:rsidRPr="003871EE">
        <w:t xml:space="preserve">wydatki związane </w:t>
      </w:r>
      <w:r w:rsidR="008F35CD" w:rsidRPr="008F35CD">
        <w:t>z likwidacją barier architektonicznych w szczególności w oparciu o</w:t>
      </w:r>
      <w:r w:rsidR="008F35CD">
        <w:t> </w:t>
      </w:r>
      <w:r w:rsidR="008F35CD" w:rsidRPr="008F35CD">
        <w:t>projektowanie uniwersalne lub zastosowanie racjonalnego usprawnienia oraz uwzględniające potrzeby osób z</w:t>
      </w:r>
      <w:r w:rsidR="00760A08">
        <w:t> </w:t>
      </w:r>
      <w:r w:rsidR="008F35CD" w:rsidRPr="008F35CD">
        <w:t>niepełnosprawnościami</w:t>
      </w:r>
      <w:r w:rsidR="008F35CD">
        <w:t>;</w:t>
      </w:r>
    </w:p>
    <w:p w:rsidR="00AE664C" w:rsidRDefault="00AE664C" w:rsidP="00C119F6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="00EC7E1D">
        <w:t xml:space="preserve">związane z </w:t>
      </w:r>
      <w:r w:rsidR="0004419C">
        <w:t>zagospodarowaniem otoczenia obiektów w szczególności</w:t>
      </w:r>
      <w:r>
        <w:t xml:space="preserve">: </w:t>
      </w:r>
    </w:p>
    <w:p w:rsidR="00AE664C" w:rsidRDefault="00AE664C" w:rsidP="00B27D8A">
      <w:pPr>
        <w:pStyle w:val="Akapitzlist"/>
        <w:numPr>
          <w:ilvl w:val="2"/>
          <w:numId w:val="9"/>
        </w:numPr>
        <w:ind w:left="567" w:hanging="272"/>
      </w:pPr>
      <w:r>
        <w:t>koszt</w:t>
      </w:r>
      <w:r w:rsidR="00154DEB">
        <w:t>y</w:t>
      </w:r>
      <w:r>
        <w:t xml:space="preserve"> </w:t>
      </w:r>
      <w:r w:rsidR="0004419C">
        <w:t>budow</w:t>
      </w:r>
      <w:r w:rsidR="00154DEB">
        <w:t>y</w:t>
      </w:r>
      <w:r w:rsidR="00DB791F">
        <w:t xml:space="preserve">, </w:t>
      </w:r>
      <w:r w:rsidR="0004419C">
        <w:t>rozbudow</w:t>
      </w:r>
      <w:r w:rsidR="00154DEB">
        <w:t>y</w:t>
      </w:r>
      <w:r w:rsidR="00DB791F">
        <w:t xml:space="preserve"> i montażu</w:t>
      </w:r>
      <w:r w:rsidR="0004419C">
        <w:t xml:space="preserve"> </w:t>
      </w:r>
      <w:r w:rsidR="003871EE">
        <w:t xml:space="preserve">urządzeń </w:t>
      </w:r>
      <w:r w:rsidR="0004419C">
        <w:t>placów zab</w:t>
      </w:r>
      <w:r>
        <w:t>aw wraz z bezpieczną nawierzchnią i</w:t>
      </w:r>
      <w:r w:rsidR="00154DEB">
        <w:t> </w:t>
      </w:r>
      <w:r>
        <w:t>ogrodzeniem,</w:t>
      </w:r>
    </w:p>
    <w:p w:rsidR="00512FF6" w:rsidRDefault="00AE664C" w:rsidP="00B27D8A">
      <w:pPr>
        <w:pStyle w:val="Akapitzlist"/>
        <w:numPr>
          <w:ilvl w:val="2"/>
          <w:numId w:val="9"/>
        </w:numPr>
        <w:ind w:left="567" w:hanging="272"/>
      </w:pPr>
      <w:r>
        <w:t>koszt</w:t>
      </w:r>
      <w:r w:rsidR="00154DEB">
        <w:t>y</w:t>
      </w:r>
      <w:r>
        <w:t xml:space="preserve"> </w:t>
      </w:r>
      <w:r w:rsidR="00E04229">
        <w:t xml:space="preserve">związane z </w:t>
      </w:r>
      <w:r>
        <w:t>modyfikacj</w:t>
      </w:r>
      <w:r w:rsidR="00EB7F2E">
        <w:t xml:space="preserve">ą </w:t>
      </w:r>
      <w:r>
        <w:t>przestrzeni</w:t>
      </w:r>
      <w:r w:rsidR="000F13D5">
        <w:t>,</w:t>
      </w:r>
      <w:r>
        <w:t xml:space="preserve"> </w:t>
      </w:r>
      <w:r w:rsidR="00C447EC">
        <w:t xml:space="preserve">mającą </w:t>
      </w:r>
      <w:r w:rsidR="000F13D5">
        <w:t xml:space="preserve">na </w:t>
      </w:r>
      <w:r w:rsidR="00F57808">
        <w:t xml:space="preserve">celu </w:t>
      </w:r>
      <w:r w:rsidR="00EB7F2E">
        <w:t>wpierani</w:t>
      </w:r>
      <w:r w:rsidR="00C447EC">
        <w:t>e</w:t>
      </w:r>
      <w:r w:rsidR="008F35CD">
        <w:t xml:space="preserve"> </w:t>
      </w:r>
      <w:r w:rsidR="00EB7F2E">
        <w:t>rozwoju psychoruchowego i</w:t>
      </w:r>
      <w:r w:rsidR="00E04229">
        <w:t> </w:t>
      </w:r>
      <w:r w:rsidR="00EB7F2E">
        <w:t xml:space="preserve">poznawczego dzieci w tym </w:t>
      </w:r>
      <w:r w:rsidR="003871EE">
        <w:t xml:space="preserve">np. </w:t>
      </w:r>
      <w:r w:rsidR="00154DEB">
        <w:t xml:space="preserve">koszt </w:t>
      </w:r>
      <w:r w:rsidR="00EB7F2E">
        <w:t>budow</w:t>
      </w:r>
      <w:r w:rsidR="00154DEB">
        <w:t>y</w:t>
      </w:r>
      <w:r w:rsidR="00EB7F2E">
        <w:t xml:space="preserve"> ścieżki sensorycznej lub ogrodu</w:t>
      </w:r>
      <w:r w:rsidR="00154DEB">
        <w:t xml:space="preserve"> sensorycznego</w:t>
      </w:r>
      <w:r w:rsidR="00EB7F2E">
        <w:t xml:space="preserve">, </w:t>
      </w:r>
      <w:r w:rsidR="00154DEB">
        <w:t>zakup tablic manipulacyjnych, paneli edukacyjnych, plenerowych instrumentów muzycznych</w:t>
      </w:r>
      <w:r w:rsidR="00B27D8A">
        <w:t>;</w:t>
      </w:r>
    </w:p>
    <w:p w:rsidR="000917FE" w:rsidRDefault="00F57808" w:rsidP="00C119F6">
      <w:pPr>
        <w:pStyle w:val="Akapitzlist"/>
        <w:numPr>
          <w:ilvl w:val="0"/>
          <w:numId w:val="2"/>
        </w:numPr>
        <w:ind w:left="357" w:hanging="357"/>
      </w:pPr>
      <w:r w:rsidRPr="00F57808">
        <w:t xml:space="preserve">koszty zakupu trwałego wyposażenia oraz </w:t>
      </w:r>
      <w:r w:rsidRPr="002D70D1">
        <w:t>wartości niematerialnych i prawnych</w:t>
      </w:r>
      <w:r w:rsidRPr="008D6EE2">
        <w:t xml:space="preserve"> podlegając</w:t>
      </w:r>
      <w:r w:rsidR="00464C48" w:rsidRPr="008D6EE2">
        <w:t>ych</w:t>
      </w:r>
      <w:r w:rsidR="00DB791F" w:rsidRPr="008D6EE2">
        <w:t xml:space="preserve"> </w:t>
      </w:r>
      <w:r w:rsidRPr="008D6EE2">
        <w:t>amortyzacji, ujęt</w:t>
      </w:r>
      <w:r w:rsidR="008270D2" w:rsidRPr="008D6EE2">
        <w:t>ych</w:t>
      </w:r>
      <w:r w:rsidR="00D37D4A" w:rsidRPr="008D6EE2">
        <w:t xml:space="preserve"> </w:t>
      </w:r>
      <w:r w:rsidRPr="008D6EE2">
        <w:t xml:space="preserve">w ewidencji środków trwałych </w:t>
      </w:r>
      <w:r w:rsidRPr="002D70D1">
        <w:t>oraz wartości niematerialnych i prawnych</w:t>
      </w:r>
      <w:r w:rsidRPr="00F57808">
        <w:t xml:space="preserve"> </w:t>
      </w:r>
      <w:r w:rsidR="00C447EC">
        <w:t>w</w:t>
      </w:r>
      <w:r>
        <w:t> </w:t>
      </w:r>
      <w:r w:rsidR="00C447EC">
        <w:t xml:space="preserve">tym </w:t>
      </w:r>
      <w:r w:rsidR="0002278D" w:rsidRPr="00E04229">
        <w:t>m.in.</w:t>
      </w:r>
      <w:r w:rsidR="0002278D">
        <w:t xml:space="preserve"> </w:t>
      </w:r>
      <w:r w:rsidR="00760A08">
        <w:t>meble</w:t>
      </w:r>
      <w:r w:rsidR="00C447EC">
        <w:t xml:space="preserve">, </w:t>
      </w:r>
      <w:r w:rsidR="00846AA7" w:rsidRPr="00E04229">
        <w:t>sprzęt</w:t>
      </w:r>
      <w:r w:rsidR="00DB791F">
        <w:t xml:space="preserve"> </w:t>
      </w:r>
      <w:r w:rsidR="00846AA7" w:rsidRPr="00E04229">
        <w:t>komputerow</w:t>
      </w:r>
      <w:r w:rsidR="00DB791F">
        <w:t>y</w:t>
      </w:r>
      <w:r w:rsidR="000F13D5">
        <w:t>,</w:t>
      </w:r>
      <w:r w:rsidR="000F13D5" w:rsidRPr="000F13D5">
        <w:t xml:space="preserve"> oprogramowani</w:t>
      </w:r>
      <w:r w:rsidR="00DB791F">
        <w:t>e</w:t>
      </w:r>
      <w:r w:rsidR="000917FE">
        <w:t>,</w:t>
      </w:r>
      <w:r w:rsidR="00887610">
        <w:t xml:space="preserve"> tablic</w:t>
      </w:r>
      <w:r w:rsidR="00DB791F">
        <w:t>e</w:t>
      </w:r>
      <w:r w:rsidR="00887610">
        <w:t xml:space="preserve"> interaktywn</w:t>
      </w:r>
      <w:r w:rsidR="00DB791F">
        <w:t>e</w:t>
      </w:r>
      <w:r w:rsidR="000917FE">
        <w:t>, służących:</w:t>
      </w:r>
    </w:p>
    <w:p w:rsidR="000917FE" w:rsidRDefault="000917FE" w:rsidP="00B27D8A">
      <w:pPr>
        <w:pStyle w:val="Akapitzlist"/>
        <w:numPr>
          <w:ilvl w:val="1"/>
          <w:numId w:val="2"/>
        </w:numPr>
        <w:ind w:left="714" w:hanging="357"/>
        <w:contextualSpacing/>
      </w:pPr>
      <w:r>
        <w:t>prowadzeniu edukacji przedszkolnej,</w:t>
      </w:r>
    </w:p>
    <w:p w:rsidR="000917FE" w:rsidRDefault="000917FE" w:rsidP="00B27D8A">
      <w:pPr>
        <w:pStyle w:val="Akapitzlist"/>
        <w:numPr>
          <w:ilvl w:val="1"/>
          <w:numId w:val="2"/>
        </w:numPr>
        <w:ind w:left="714" w:hanging="357"/>
        <w:contextualSpacing/>
      </w:pPr>
      <w:r w:rsidRPr="000917FE">
        <w:t>rozpoznawani</w:t>
      </w:r>
      <w:r>
        <w:t>u</w:t>
      </w:r>
      <w:r w:rsidRPr="000917FE">
        <w:t xml:space="preserve"> potrzeb rozwojowych i edukacyjnych dzieci</w:t>
      </w:r>
      <w:r>
        <w:t>,</w:t>
      </w:r>
    </w:p>
    <w:p w:rsidR="00512FF6" w:rsidRDefault="000917FE" w:rsidP="00B27D8A">
      <w:pPr>
        <w:pStyle w:val="Akapitzlist"/>
        <w:numPr>
          <w:ilvl w:val="1"/>
          <w:numId w:val="2"/>
        </w:numPr>
        <w:ind w:left="714" w:hanging="357"/>
        <w:contextualSpacing/>
      </w:pPr>
      <w:r>
        <w:t>poprawie dostępności cyfrowej i informacyjno-komunikacyjnej</w:t>
      </w:r>
      <w:r w:rsidR="000F13D5">
        <w:t>;</w:t>
      </w:r>
    </w:p>
    <w:p w:rsidR="0002278D" w:rsidRPr="008D6EE2" w:rsidRDefault="00B27D8A" w:rsidP="00B27D8A">
      <w:pPr>
        <w:pStyle w:val="Akapitzlist"/>
        <w:numPr>
          <w:ilvl w:val="0"/>
          <w:numId w:val="2"/>
        </w:numPr>
        <w:ind w:left="426"/>
        <w:contextualSpacing/>
      </w:pPr>
      <w:r>
        <w:t>k</w:t>
      </w:r>
      <w:r w:rsidR="0002278D">
        <w:t>oszt zakupu pomocy dydaktycznych</w:t>
      </w:r>
      <w:r w:rsidR="00887610" w:rsidRPr="00887610">
        <w:t xml:space="preserve"> </w:t>
      </w:r>
      <w:r w:rsidR="008328F0">
        <w:t>(</w:t>
      </w:r>
      <w:r w:rsidR="00887610" w:rsidRPr="00887610">
        <w:t>w tym m.in. schematy, ilustracje, modele ruchome i</w:t>
      </w:r>
      <w:r w:rsidR="00887610">
        <w:t> </w:t>
      </w:r>
      <w:r w:rsidR="00887610" w:rsidRPr="00887610">
        <w:t>nieruchome</w:t>
      </w:r>
      <w:r w:rsidR="008328F0">
        <w:t>)</w:t>
      </w:r>
      <w:r w:rsidR="00887610" w:rsidRPr="00887610">
        <w:t xml:space="preserve"> </w:t>
      </w:r>
      <w:r w:rsidR="00BB10D7" w:rsidRPr="008D6EE2">
        <w:t>oraz zabawek</w:t>
      </w:r>
      <w:r w:rsidR="0002278D" w:rsidRPr="008D6EE2">
        <w:t>;</w:t>
      </w:r>
    </w:p>
    <w:p w:rsidR="00EC7E1D" w:rsidRDefault="00512FF6" w:rsidP="00C119F6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="00EC7E1D">
        <w:t>oszty działań służących zmniejszeniu energochłonności infrastruktury</w:t>
      </w:r>
      <w:r>
        <w:t>;</w:t>
      </w:r>
    </w:p>
    <w:p w:rsidR="00EC7E1D" w:rsidRDefault="00512FF6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>
        <w:t>oszty działań sprzyjających adaptacji do zmian klimatu poprzez zastosowanie błękitno-zielonej infrastruktury, np. zielone dachy, zielone ściany itp.</w:t>
      </w:r>
      <w:r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>
        <w:t>oszt nadzoru inwestorskiego: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do 2% kosztów robót budowlanych i montażowych (</w:t>
      </w:r>
      <w:r w:rsidRPr="00A3200D">
        <w:t>kwalifikowalnych i</w:t>
      </w:r>
      <w:r w:rsidR="004515C4">
        <w:t> </w:t>
      </w:r>
      <w:r w:rsidRPr="00A3200D">
        <w:t>niekwalifikowalnych</w:t>
      </w:r>
      <w:r>
        <w:t>)</w:t>
      </w:r>
      <w:r w:rsidRPr="00A3200D">
        <w:t xml:space="preserve"> </w:t>
      </w:r>
      <w:r>
        <w:t>bez kontroli rozliczenia budowy,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 xml:space="preserve">do 3 % </w:t>
      </w:r>
      <w:r w:rsidRPr="00CA4F22">
        <w:t>kosztów robót budowlanych i montażowych</w:t>
      </w:r>
      <w:r>
        <w:t xml:space="preserve"> (</w:t>
      </w:r>
      <w:r w:rsidRPr="00A3200D">
        <w:t>kwalifikowalnych i</w:t>
      </w:r>
      <w:r w:rsidR="004515C4">
        <w:t> </w:t>
      </w:r>
      <w:r w:rsidRPr="00A3200D">
        <w:t>niekwalifikowalnych</w:t>
      </w:r>
      <w:r>
        <w:t>) z kontrolą rozliczenia budowy</w:t>
      </w:r>
      <w:r w:rsidR="004515C4"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>
        <w:t>oszt inżyniera kontraktu (wg wymagań FIDIC),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lastRenderedPageBreak/>
        <w:t>k</w:t>
      </w:r>
      <w:r w:rsidR="00EC7E1D">
        <w:t>oszt nadzoru autorskiego do 15 % kosztów dokumentacji projektowej związanej z realizowanym projektem</w:t>
      </w:r>
      <w:r>
        <w:t>;</w:t>
      </w:r>
    </w:p>
    <w:p w:rsidR="002D70D1" w:rsidRDefault="00AD1A84" w:rsidP="002D70D1">
      <w:pPr>
        <w:pStyle w:val="Akapitzlist"/>
        <w:numPr>
          <w:ilvl w:val="0"/>
          <w:numId w:val="2"/>
        </w:numPr>
        <w:ind w:left="284"/>
        <w:contextualSpacing/>
      </w:pPr>
      <w:r w:rsidRPr="00AD1A84">
        <w:t>podatek od towarów i usług</w:t>
      </w:r>
      <w:r w:rsidR="00BF5CBF" w:rsidRPr="00BF5CBF">
        <w:t xml:space="preserve"> </w:t>
      </w:r>
      <w:r w:rsidR="002D76A1">
        <w:t>(VAT)</w:t>
      </w:r>
      <w:r w:rsidR="002D70D1">
        <w:t xml:space="preserve"> - </w:t>
      </w:r>
      <w:r w:rsidR="002D70D1" w:rsidRPr="002D70D1">
        <w:t xml:space="preserve">zgodnie z zapisami </w:t>
      </w:r>
      <w:r w:rsidR="0081717B" w:rsidRPr="002D70D1">
        <w:t>Podrozdzia</w:t>
      </w:r>
      <w:r w:rsidR="0081717B">
        <w:t>łu</w:t>
      </w:r>
      <w:r w:rsidR="0081717B" w:rsidRPr="002D70D1">
        <w:t xml:space="preserve"> </w:t>
      </w:r>
      <w:r w:rsidR="002D70D1" w:rsidRPr="002D70D1">
        <w:t>3.5 Wytycznych MFiPR dotyczących kwalifikowalności wydatków na lata 2021-2027</w:t>
      </w:r>
      <w:r w:rsidR="0081717B">
        <w:t>.</w:t>
      </w:r>
    </w:p>
    <w:p w:rsidR="006853D6" w:rsidRDefault="00E16979" w:rsidP="006853D6">
      <w:pPr>
        <w:pStyle w:val="Akapitzlist"/>
        <w:ind w:left="284"/>
        <w:contextualSpacing/>
      </w:pPr>
      <w:r w:rsidRPr="00E16979">
        <w:t xml:space="preserve">W przypadku, gdy podatek VAT jest kwalifikowalny w projekcie </w:t>
      </w:r>
      <w:r w:rsidR="006853D6">
        <w:t>którego łączny koszt:</w:t>
      </w:r>
    </w:p>
    <w:p w:rsidR="006853D6" w:rsidRDefault="006853D6" w:rsidP="006853D6">
      <w:pPr>
        <w:pStyle w:val="Akapitzlist"/>
        <w:ind w:left="284"/>
        <w:contextualSpacing/>
      </w:pPr>
      <w:r>
        <w:t>a.</w:t>
      </w:r>
      <w:r>
        <w:tab/>
      </w:r>
      <w:r w:rsidR="00E16979">
        <w:t xml:space="preserve">jest mniejszy niż 5 mln </w:t>
      </w:r>
      <w:r>
        <w:t>euro (włączając VAT),</w:t>
      </w:r>
      <w:r w:rsidR="00E16979">
        <w:t xml:space="preserve"> a kwalifikowalność podatku VAT podlega ograniczeniom wynikającym z zasad udzielenia pomocy,</w:t>
      </w:r>
    </w:p>
    <w:p w:rsidR="006853D6" w:rsidRDefault="006853D6" w:rsidP="006853D6">
      <w:pPr>
        <w:pStyle w:val="Akapitzlist"/>
        <w:ind w:left="284"/>
        <w:contextualSpacing/>
      </w:pPr>
      <w:r>
        <w:t>b.</w:t>
      </w:r>
      <w:r>
        <w:tab/>
        <w:t xml:space="preserve">wynosi co najmniej 5 mln euro (włączając VAT) </w:t>
      </w:r>
      <w:r w:rsidR="00056CE5">
        <w:t>,</w:t>
      </w:r>
    </w:p>
    <w:p w:rsidR="006853D6" w:rsidRDefault="006853D6" w:rsidP="0081717B">
      <w:pPr>
        <w:pStyle w:val="Akapitzlist"/>
        <w:ind w:left="284"/>
        <w:contextualSpacing/>
        <w:rPr>
          <w:highlight w:val="yellow"/>
        </w:rPr>
      </w:pPr>
    </w:p>
    <w:p w:rsidR="0081717B" w:rsidRDefault="009731A6" w:rsidP="0081717B">
      <w:pPr>
        <w:pStyle w:val="Akapitzlist"/>
        <w:ind w:left="284"/>
        <w:contextualSpacing/>
      </w:pPr>
      <w:r w:rsidRPr="00A86529">
        <w:t xml:space="preserve">a beneficjent ma prawo do obniżenia kwoty podatku należnego o kwotę podatku naliczonego o wskaźnik </w:t>
      </w:r>
      <w:r w:rsidR="00FF0030" w:rsidRPr="00A86529">
        <w:t>proporcji o któr</w:t>
      </w:r>
      <w:r w:rsidRPr="00A86529">
        <w:t>ym</w:t>
      </w:r>
      <w:r w:rsidR="00FF0030" w:rsidRPr="00A86529">
        <w:t xml:space="preserve"> mowa w art. art.86 ust.2a-2h lub w art. 90 ust. 2-4 ustawy z dnia 11 marca 2004r. </w:t>
      </w:r>
      <w:r w:rsidR="00FF0030" w:rsidRPr="00A86529">
        <w:rPr>
          <w:rStyle w:val="Odwoanieprzypisudolnego"/>
        </w:rPr>
        <w:footnoteReference w:id="1"/>
      </w:r>
      <w:r w:rsidR="00FF0030" w:rsidRPr="00A86529">
        <w:t xml:space="preserve"> o podatku od towarów i usług </w:t>
      </w:r>
      <w:r w:rsidR="00B40196" w:rsidRPr="00A86529">
        <w:t>wówczas za wydatek kwalifikowalny uznaje się podatek VAT pomniejszony o wskaźnik dla zakończonego roku podatkowego</w:t>
      </w:r>
      <w:r w:rsidRPr="00A86529">
        <w:t xml:space="preserve"> podwyższony o 10</w:t>
      </w:r>
      <w:r w:rsidR="00FB5719" w:rsidRPr="00A86529">
        <w:t xml:space="preserve"> </w:t>
      </w:r>
      <w:r w:rsidR="001B1671" w:rsidRPr="00A86529">
        <w:t>punktów procentowych.</w:t>
      </w:r>
    </w:p>
    <w:p w:rsidR="004515C4" w:rsidRDefault="004515C4" w:rsidP="002D70D1">
      <w:pPr>
        <w:pStyle w:val="Akapitzlist"/>
        <w:numPr>
          <w:ilvl w:val="0"/>
          <w:numId w:val="2"/>
        </w:numPr>
        <w:ind w:left="284"/>
        <w:contextualSpacing/>
      </w:pPr>
      <w:r>
        <w:t>k</w:t>
      </w:r>
      <w:r w:rsidR="00EC7E1D">
        <w:t xml:space="preserve">oszty </w:t>
      </w:r>
      <w:r w:rsidR="00EB5256">
        <w:t xml:space="preserve">informacji </w:t>
      </w:r>
      <w:r w:rsidR="00EC7E1D">
        <w:t>i promocji w szczególności: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:rsidR="000917FE" w:rsidRPr="000917FE" w:rsidRDefault="000917FE" w:rsidP="000917FE">
      <w:pPr>
        <w:pStyle w:val="Akapitzlist"/>
        <w:numPr>
          <w:ilvl w:val="1"/>
          <w:numId w:val="2"/>
        </w:numPr>
        <w:ind w:left="709"/>
      </w:pPr>
      <w:r w:rsidRPr="000917FE">
        <w:t>koszt usługi zleconej w zakresie prowadzenia konta w mediach społecznościowych,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tablice informacyjne i pamiątkowe,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plakaty informacyjne w miejscu realizacji projektu,</w:t>
      </w:r>
    </w:p>
    <w:p w:rsidR="00EC7E1D" w:rsidRDefault="00EC7E1D" w:rsidP="00C119F6">
      <w:pPr>
        <w:pStyle w:val="Akapitzlist"/>
        <w:numPr>
          <w:ilvl w:val="1"/>
          <w:numId w:val="2"/>
        </w:numPr>
        <w:spacing w:after="120"/>
        <w:ind w:left="714" w:hanging="357"/>
      </w:pPr>
      <w:r>
        <w:t>organizacja wydarzeń informacyjnych lub działań komunikacyjnych np. z udziałem Komisji Europejskiej (w tym m.in. najem sali, zapewnienie nagłośnienia , zakup cateringu, zakup reklamy w mediach dot. wydarzenia itp.).</w:t>
      </w:r>
    </w:p>
    <w:p w:rsidR="00F30CDC" w:rsidRDefault="00B4786F" w:rsidP="002D70D1">
      <w:pPr>
        <w:spacing w:after="120"/>
      </w:pPr>
      <w:r>
        <w:t xml:space="preserve">Za </w:t>
      </w:r>
      <w:r w:rsidRPr="0081717B">
        <w:rPr>
          <w:b/>
        </w:rPr>
        <w:t>kwalifikowalne</w:t>
      </w:r>
      <w:r>
        <w:t xml:space="preserve"> uznaje się </w:t>
      </w:r>
      <w:r w:rsidR="0081717B">
        <w:t xml:space="preserve">również </w:t>
      </w:r>
      <w:r w:rsidRPr="0081717B">
        <w:rPr>
          <w:b/>
        </w:rPr>
        <w:t>k</w:t>
      </w:r>
      <w:r w:rsidR="00F30CDC" w:rsidRPr="0081717B">
        <w:rPr>
          <w:b/>
        </w:rPr>
        <w:t>oszty pośrednie</w:t>
      </w:r>
      <w:r w:rsidR="00F30CDC" w:rsidRPr="00F30CDC">
        <w:t xml:space="preserve"> wyszczególnione w Podrozdziale 3.12 Wytycznych MFiPR dotyczących kwalifikowalności wydatków na lata 2021-2027 </w:t>
      </w:r>
      <w:r w:rsidR="0081717B">
        <w:t xml:space="preserve">rozliczane za pomocą metody uproszczonej – </w:t>
      </w:r>
      <w:r w:rsidR="0081717B" w:rsidRPr="006169A2">
        <w:rPr>
          <w:b/>
        </w:rPr>
        <w:t xml:space="preserve">stawką ryczałtową </w:t>
      </w:r>
      <w:r w:rsidR="00F30CDC" w:rsidRPr="006169A2">
        <w:rPr>
          <w:b/>
        </w:rPr>
        <w:t xml:space="preserve">w wysokości </w:t>
      </w:r>
      <w:r w:rsidR="006853D6" w:rsidRPr="006169A2">
        <w:rPr>
          <w:b/>
        </w:rPr>
        <w:t>4</w:t>
      </w:r>
      <w:r w:rsidR="00F30CDC" w:rsidRPr="006169A2">
        <w:rPr>
          <w:b/>
        </w:rPr>
        <w:t xml:space="preserve">% </w:t>
      </w:r>
      <w:r w:rsidR="00E34351">
        <w:rPr>
          <w:b/>
        </w:rPr>
        <w:t xml:space="preserve">wszystkich </w:t>
      </w:r>
      <w:r w:rsidR="00F30CDC" w:rsidRPr="006169A2">
        <w:rPr>
          <w:b/>
        </w:rPr>
        <w:t>kwalifikowalnych kosztów bezpośrednich</w:t>
      </w:r>
      <w:r w:rsidR="00F30CDC" w:rsidRPr="00F30CDC">
        <w:t xml:space="preserve"> projektu</w:t>
      </w:r>
      <w:r w:rsidR="0081717B">
        <w:t>.</w:t>
      </w:r>
      <w:r w:rsidR="006169A2">
        <w:t xml:space="preserve"> 4% jest stawką stałą, co oznacza, że kwota na koszty pośrednie ma wynosić dokładnie 4 % wartości wszystkich kosztów bezpośrednich projektu. Nie może być ani większa ani mniejsza. Jednocześnie niedopuszczalna jest sytuacja, w której jakiekolwiek koszty pośrednie zostaną rozliczone w ramach kosztów bezpośrednich.</w:t>
      </w:r>
    </w:p>
    <w:p w:rsidR="00F66528" w:rsidRDefault="00F66528" w:rsidP="00F66528">
      <w:pPr>
        <w:pStyle w:val="Nagwek2"/>
      </w:pPr>
      <w:bookmarkStart w:id="4" w:name="_Toc145591902"/>
      <w:r>
        <w:t xml:space="preserve">2. Wydatki </w:t>
      </w:r>
      <w:r w:rsidRPr="00F02B2C">
        <w:t>niekwalifikowalne</w:t>
      </w:r>
      <w:bookmarkEnd w:id="4"/>
    </w:p>
    <w:p w:rsidR="00F66528" w:rsidRPr="00F66528" w:rsidRDefault="00F66528" w:rsidP="00F66528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:rsidR="00F66528" w:rsidRDefault="004C4038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</w:t>
      </w:r>
      <w:r w:rsidR="00F66528" w:rsidRPr="007B5678">
        <w:t>oszt</w:t>
      </w:r>
      <w:r w:rsidR="00F66528">
        <w:t>y</w:t>
      </w:r>
      <w:r w:rsidR="00F66528" w:rsidRPr="007B5678">
        <w:t xml:space="preserve"> wynagrodze</w:t>
      </w:r>
      <w:r w:rsidR="00F66528">
        <w:t>ń</w:t>
      </w:r>
      <w:r w:rsidR="00F66528" w:rsidRPr="007B5678">
        <w:t xml:space="preserve"> personelu bezpośredniego</w:t>
      </w:r>
      <w:r w:rsidR="0040674F">
        <w:t>;</w:t>
      </w:r>
    </w:p>
    <w:p w:rsidR="00F66528" w:rsidRP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40674F">
        <w:t>k</w:t>
      </w:r>
      <w:r w:rsidR="00F66528" w:rsidRPr="0040674F">
        <w:t>oszty zakupu gadżetów promocyjnych (np. długopisów, notesów, kubków, urządzeń pamięci przenośnej typu pendrive, plecaków itp.)</w:t>
      </w:r>
      <w:r w:rsidRPr="0040674F">
        <w:t>;</w:t>
      </w:r>
    </w:p>
    <w:p w:rsidR="00F66528" w:rsidRP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</w:t>
      </w:r>
      <w:r w:rsidR="00D3704E">
        <w:t xml:space="preserve"> z niepełnosprawnościami </w:t>
      </w:r>
      <w:r w:rsidRPr="0040674F">
        <w:t>;</w:t>
      </w:r>
    </w:p>
    <w:p w:rsidR="00F66528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lastRenderedPageBreak/>
        <w:t>z</w:t>
      </w:r>
      <w:r w:rsidR="00F66528" w:rsidRPr="0040674F">
        <w:t xml:space="preserve">akup </w:t>
      </w:r>
      <w:r w:rsidR="008270D2">
        <w:t xml:space="preserve">trwałego wyposażenia </w:t>
      </w:r>
      <w:r w:rsidR="00375D12" w:rsidRPr="00375D12">
        <w:t xml:space="preserve">i wartości niematerialnych i prawnych niepodlegających </w:t>
      </w:r>
      <w:r w:rsidR="00F66528" w:rsidRPr="0040674F">
        <w:t>amortyzacji oraz nieujęt</w:t>
      </w:r>
      <w:r w:rsidR="00375D12">
        <w:t>ych</w:t>
      </w:r>
      <w:r w:rsidR="00F66528" w:rsidRPr="0040674F">
        <w:t xml:space="preserve"> w ewidencji środków trwałych</w:t>
      </w:r>
      <w:r w:rsidR="004C4038">
        <w:t xml:space="preserve"> </w:t>
      </w:r>
      <w:r w:rsidR="00DB791F">
        <w:t xml:space="preserve">oraz </w:t>
      </w:r>
      <w:r w:rsidR="00DB791F" w:rsidRPr="00DB791F">
        <w:t>wartości niematerialnych i prawnych</w:t>
      </w:r>
      <w:r w:rsidR="00DB791F">
        <w:t xml:space="preserve"> </w:t>
      </w:r>
      <w:r w:rsidR="004C4038">
        <w:t xml:space="preserve">w tym m. in. </w:t>
      </w:r>
      <w:r w:rsidR="004C4038" w:rsidRPr="008D6EE2">
        <w:t>materiał</w:t>
      </w:r>
      <w:r w:rsidR="009A57DA" w:rsidRPr="008D6EE2">
        <w:t>ów</w:t>
      </w:r>
      <w:r w:rsidR="004C4038" w:rsidRPr="008D6EE2">
        <w:t xml:space="preserve"> </w:t>
      </w:r>
      <w:r w:rsidR="008328F0" w:rsidRPr="008D6EE2">
        <w:t>biurowych</w:t>
      </w:r>
      <w:r w:rsidR="0081717B">
        <w:t>, materiałów</w:t>
      </w:r>
      <w:r w:rsidR="008328F0" w:rsidRPr="008D6EE2">
        <w:t xml:space="preserve"> do zajęć plastycznych </w:t>
      </w:r>
      <w:r w:rsidR="00304DDF" w:rsidRPr="008D6EE2">
        <w:t>oraz podręczników</w:t>
      </w:r>
      <w:r>
        <w:t>;</w:t>
      </w:r>
    </w:p>
    <w:p w:rsidR="004C4038" w:rsidRPr="0040674F" w:rsidRDefault="004C4038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koszty poniesione na informatyzację systemu zarządzania placówką;</w:t>
      </w:r>
    </w:p>
    <w:p w:rsid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 xml:space="preserve">odrozdziale 2.3 Wytycznych </w:t>
      </w:r>
      <w:r w:rsidR="00FB5E92">
        <w:t xml:space="preserve">MFiPR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:rsidR="00382FF6" w:rsidRPr="00D833ED" w:rsidRDefault="00382FF6" w:rsidP="00382FF6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:rsidR="00382FF6" w:rsidRDefault="00382FF6" w:rsidP="00382FF6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:rsidR="00382FF6" w:rsidRDefault="00382FF6" w:rsidP="00382FF6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2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:rsidR="00D37D4A" w:rsidRDefault="00D37D4A" w:rsidP="00D37D4A">
      <w:pPr>
        <w:spacing w:after="160" w:line="259" w:lineRule="auto"/>
        <w:contextualSpacing/>
      </w:pPr>
    </w:p>
    <w:sectPr w:rsidR="00D37D4A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DB" w:rsidRDefault="00F254DB">
      <w:r>
        <w:separator/>
      </w:r>
    </w:p>
  </w:endnote>
  <w:endnote w:type="continuationSeparator" w:id="0">
    <w:p w:rsidR="00F254DB" w:rsidRDefault="00F2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C4F731" wp14:editId="284BCA53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C4F73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DB" w:rsidRDefault="00F254DB">
      <w:r>
        <w:separator/>
      </w:r>
    </w:p>
  </w:footnote>
  <w:footnote w:type="continuationSeparator" w:id="0">
    <w:p w:rsidR="00F254DB" w:rsidRDefault="00F254DB">
      <w:r>
        <w:continuationSeparator/>
      </w:r>
    </w:p>
  </w:footnote>
  <w:footnote w:id="1">
    <w:p w:rsidR="00FF0030" w:rsidRDefault="00FF00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030">
        <w:t>Dz. U. z 2022r., poz. 931 ze zm.</w:t>
      </w:r>
    </w:p>
  </w:footnote>
  <w:footnote w:id="2">
    <w:p w:rsidR="00382FF6" w:rsidRDefault="00382FF6" w:rsidP="00382F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0A7D58" wp14:editId="15775357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1F54F8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155D"/>
    <w:multiLevelType w:val="hybridMultilevel"/>
    <w:tmpl w:val="21A04140"/>
    <w:lvl w:ilvl="0" w:tplc="4E9C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1C2FB4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090A1E"/>
    <w:multiLevelType w:val="hybridMultilevel"/>
    <w:tmpl w:val="C64A94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20F97"/>
    <w:multiLevelType w:val="hybridMultilevel"/>
    <w:tmpl w:val="7DFCA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13F1744-7997-4E78-A6C8-7AC60A4A4844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A0D"/>
    <w:rsid w:val="0003628C"/>
    <w:rsid w:val="000375A9"/>
    <w:rsid w:val="00037BC4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44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2DBE"/>
    <w:rsid w:val="000C4A37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1DC3"/>
    <w:rsid w:val="000E23D1"/>
    <w:rsid w:val="000E2A4F"/>
    <w:rsid w:val="000E31FC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4DEB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41DC"/>
    <w:rsid w:val="001C5209"/>
    <w:rsid w:val="001C5AF6"/>
    <w:rsid w:val="001C6895"/>
    <w:rsid w:val="001C731D"/>
    <w:rsid w:val="001D008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10C2"/>
    <w:rsid w:val="0021242A"/>
    <w:rsid w:val="0021549D"/>
    <w:rsid w:val="00215865"/>
    <w:rsid w:val="0021792E"/>
    <w:rsid w:val="00221D0E"/>
    <w:rsid w:val="0022260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EEE"/>
    <w:rsid w:val="00283015"/>
    <w:rsid w:val="002852CB"/>
    <w:rsid w:val="00285C1C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D54C4"/>
    <w:rsid w:val="002D70D1"/>
    <w:rsid w:val="002D76A1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5D12"/>
    <w:rsid w:val="0037631F"/>
    <w:rsid w:val="00380CFD"/>
    <w:rsid w:val="00382FF6"/>
    <w:rsid w:val="003836A1"/>
    <w:rsid w:val="003860F6"/>
    <w:rsid w:val="003871EE"/>
    <w:rsid w:val="0038776E"/>
    <w:rsid w:val="00391330"/>
    <w:rsid w:val="0039335C"/>
    <w:rsid w:val="00394FD9"/>
    <w:rsid w:val="003A40B6"/>
    <w:rsid w:val="003A50CE"/>
    <w:rsid w:val="003A6D46"/>
    <w:rsid w:val="003B005A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20273"/>
    <w:rsid w:val="0042225E"/>
    <w:rsid w:val="00422715"/>
    <w:rsid w:val="00422F20"/>
    <w:rsid w:val="00423158"/>
    <w:rsid w:val="00425C74"/>
    <w:rsid w:val="004265DE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15C4"/>
    <w:rsid w:val="0045365B"/>
    <w:rsid w:val="004544E8"/>
    <w:rsid w:val="0045683E"/>
    <w:rsid w:val="004627ED"/>
    <w:rsid w:val="00463D31"/>
    <w:rsid w:val="00464000"/>
    <w:rsid w:val="00464C48"/>
    <w:rsid w:val="0046504F"/>
    <w:rsid w:val="0046613D"/>
    <w:rsid w:val="00471A60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315EF"/>
    <w:rsid w:val="005349F0"/>
    <w:rsid w:val="0053514E"/>
    <w:rsid w:val="0053551B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6EC"/>
    <w:rsid w:val="005C6A29"/>
    <w:rsid w:val="005C7D30"/>
    <w:rsid w:val="005D1683"/>
    <w:rsid w:val="005D2D58"/>
    <w:rsid w:val="005D4636"/>
    <w:rsid w:val="005D5489"/>
    <w:rsid w:val="005D5C6C"/>
    <w:rsid w:val="005D7886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169A2"/>
    <w:rsid w:val="00622781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53D6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5B67"/>
    <w:rsid w:val="006A72FB"/>
    <w:rsid w:val="006A7AEC"/>
    <w:rsid w:val="006A7B67"/>
    <w:rsid w:val="006B055D"/>
    <w:rsid w:val="006B2E5F"/>
    <w:rsid w:val="006B76A1"/>
    <w:rsid w:val="006C051F"/>
    <w:rsid w:val="006C456E"/>
    <w:rsid w:val="006C4E76"/>
    <w:rsid w:val="006C767D"/>
    <w:rsid w:val="006D1BE9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AC4"/>
    <w:rsid w:val="00727F50"/>
    <w:rsid w:val="00727F94"/>
    <w:rsid w:val="00730C41"/>
    <w:rsid w:val="00731A2A"/>
    <w:rsid w:val="00731F27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199"/>
    <w:rsid w:val="0075279F"/>
    <w:rsid w:val="007546C4"/>
    <w:rsid w:val="00756E3D"/>
    <w:rsid w:val="00757914"/>
    <w:rsid w:val="007600EA"/>
    <w:rsid w:val="00760A08"/>
    <w:rsid w:val="00760F47"/>
    <w:rsid w:val="00761E3A"/>
    <w:rsid w:val="0076352D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8FB"/>
    <w:rsid w:val="007F0A1E"/>
    <w:rsid w:val="007F3623"/>
    <w:rsid w:val="007F4153"/>
    <w:rsid w:val="007F45A0"/>
    <w:rsid w:val="007F53B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EB1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6903"/>
    <w:rsid w:val="00897170"/>
    <w:rsid w:val="008A261F"/>
    <w:rsid w:val="008A3B5E"/>
    <w:rsid w:val="008A4354"/>
    <w:rsid w:val="008A566D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F16D2"/>
    <w:rsid w:val="008F35CD"/>
    <w:rsid w:val="008F4DCD"/>
    <w:rsid w:val="00901B39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4129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30BE"/>
    <w:rsid w:val="009A36E3"/>
    <w:rsid w:val="009A4127"/>
    <w:rsid w:val="009A444D"/>
    <w:rsid w:val="009A4A61"/>
    <w:rsid w:val="009A4E1B"/>
    <w:rsid w:val="009A57DA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A00DD9"/>
    <w:rsid w:val="00A04690"/>
    <w:rsid w:val="00A0542F"/>
    <w:rsid w:val="00A0589F"/>
    <w:rsid w:val="00A06E96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0F51"/>
    <w:rsid w:val="00A724E1"/>
    <w:rsid w:val="00A72A0D"/>
    <w:rsid w:val="00A73990"/>
    <w:rsid w:val="00A740BC"/>
    <w:rsid w:val="00A758E4"/>
    <w:rsid w:val="00A75DEE"/>
    <w:rsid w:val="00A75EB2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F6D"/>
    <w:rsid w:val="00AA1B72"/>
    <w:rsid w:val="00AA2F68"/>
    <w:rsid w:val="00AA5558"/>
    <w:rsid w:val="00AB046D"/>
    <w:rsid w:val="00AB0DEF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1A84"/>
    <w:rsid w:val="00AD5FDE"/>
    <w:rsid w:val="00AD7345"/>
    <w:rsid w:val="00AE0AC5"/>
    <w:rsid w:val="00AE1649"/>
    <w:rsid w:val="00AE3F90"/>
    <w:rsid w:val="00AE6413"/>
    <w:rsid w:val="00AE664C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16EDD"/>
    <w:rsid w:val="00B228C1"/>
    <w:rsid w:val="00B24B51"/>
    <w:rsid w:val="00B266A8"/>
    <w:rsid w:val="00B270B7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CA4"/>
    <w:rsid w:val="00B42D56"/>
    <w:rsid w:val="00B43B46"/>
    <w:rsid w:val="00B444D8"/>
    <w:rsid w:val="00B475CE"/>
    <w:rsid w:val="00B4786F"/>
    <w:rsid w:val="00B50AFD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6101"/>
    <w:rsid w:val="00B869A6"/>
    <w:rsid w:val="00B87900"/>
    <w:rsid w:val="00B87B16"/>
    <w:rsid w:val="00B92998"/>
    <w:rsid w:val="00B92AD5"/>
    <w:rsid w:val="00B93650"/>
    <w:rsid w:val="00B96FC3"/>
    <w:rsid w:val="00B979D8"/>
    <w:rsid w:val="00BA0572"/>
    <w:rsid w:val="00BA15AF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BF5CBF"/>
    <w:rsid w:val="00C02EB9"/>
    <w:rsid w:val="00C03694"/>
    <w:rsid w:val="00C036A9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44BF"/>
    <w:rsid w:val="00C24DF4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37F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364A2"/>
    <w:rsid w:val="00D3704E"/>
    <w:rsid w:val="00D37D4A"/>
    <w:rsid w:val="00D42E4E"/>
    <w:rsid w:val="00D42FF9"/>
    <w:rsid w:val="00D43A0D"/>
    <w:rsid w:val="00D44162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E00CD4"/>
    <w:rsid w:val="00E00F84"/>
    <w:rsid w:val="00E012B0"/>
    <w:rsid w:val="00E0339B"/>
    <w:rsid w:val="00E04229"/>
    <w:rsid w:val="00E0453C"/>
    <w:rsid w:val="00E051D5"/>
    <w:rsid w:val="00E0524C"/>
    <w:rsid w:val="00E05B6B"/>
    <w:rsid w:val="00E06500"/>
    <w:rsid w:val="00E06F92"/>
    <w:rsid w:val="00E10E9C"/>
    <w:rsid w:val="00E11901"/>
    <w:rsid w:val="00E12016"/>
    <w:rsid w:val="00E12A13"/>
    <w:rsid w:val="00E140A9"/>
    <w:rsid w:val="00E15607"/>
    <w:rsid w:val="00E16979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C71"/>
    <w:rsid w:val="00F46341"/>
    <w:rsid w:val="00F47DE8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3E1C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476"/>
    <w:rsid w:val="00FB5706"/>
    <w:rsid w:val="00FB5719"/>
    <w:rsid w:val="00FB5E4E"/>
    <w:rsid w:val="00FB5E92"/>
    <w:rsid w:val="00FC04B7"/>
    <w:rsid w:val="00FC1B7D"/>
    <w:rsid w:val="00FC56CF"/>
    <w:rsid w:val="00FC6371"/>
    <w:rsid w:val="00FC6F45"/>
    <w:rsid w:val="00FC78C8"/>
    <w:rsid w:val="00FC79A8"/>
    <w:rsid w:val="00FD1CAF"/>
    <w:rsid w:val="00FD3CFB"/>
    <w:rsid w:val="00FE02BB"/>
    <w:rsid w:val="00FE0A6C"/>
    <w:rsid w:val="00FE0A8C"/>
    <w:rsid w:val="00FE1EA6"/>
    <w:rsid w:val="00FE3885"/>
    <w:rsid w:val="00FE700A"/>
    <w:rsid w:val="00FE7172"/>
    <w:rsid w:val="00FF0030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DB4A81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1744-7997-4E78-A6C8-7AC60A4A484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8A50CF-7CE5-4E4A-A0D2-DC283531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5</Pages>
  <Words>862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6972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Załącznik nr 4</dc:subject>
  <dc:creator>Surudo Agnieszka</dc:creator>
  <cp:keywords>uchwała ZWP; regulamin wyboru projektów</cp:keywords>
  <cp:lastModifiedBy>Mróz Agata</cp:lastModifiedBy>
  <cp:revision>2</cp:revision>
  <cp:lastPrinted>2023-09-22T13:20:00Z</cp:lastPrinted>
  <dcterms:created xsi:type="dcterms:W3CDTF">2023-09-28T10:35:00Z</dcterms:created>
  <dcterms:modified xsi:type="dcterms:W3CDTF">2023-09-28T10:35:00Z</dcterms:modified>
</cp:coreProperties>
</file>