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2B675" w14:textId="7D9DD88B" w:rsidR="00B63831" w:rsidRPr="00826FA1" w:rsidRDefault="00254AED" w:rsidP="0057042A">
      <w:pPr>
        <w:tabs>
          <w:tab w:val="center" w:pos="1985"/>
          <w:tab w:val="center" w:pos="7513"/>
        </w:tabs>
        <w:spacing w:after="120" w:line="276" w:lineRule="auto"/>
        <w:rPr>
          <w:rFonts w:ascii="Calibri" w:hAnsi="Calibri"/>
          <w:b/>
          <w:bCs/>
          <w:sz w:val="22"/>
          <w:szCs w:val="22"/>
          <w:u w:val="single"/>
        </w:rPr>
      </w:pPr>
      <w:bookmarkStart w:id="0" w:name="_Hlk140048875"/>
      <w:r>
        <w:rPr>
          <w:rFonts w:asciiTheme="minorHAnsi" w:hAnsiTheme="minorHAnsi" w:cstheme="minorHAnsi"/>
          <w:bCs/>
          <w:sz w:val="22"/>
          <w:szCs w:val="22"/>
        </w:rPr>
        <w:t xml:space="preserve">Załącznik nr 5 do umowy o dofinansowanie, której wzór stanowi </w:t>
      </w:r>
      <w:r>
        <w:rPr>
          <w:rFonts w:ascii="Calibri" w:hAnsi="Calibri"/>
          <w:sz w:val="22"/>
          <w:szCs w:val="22"/>
        </w:rPr>
        <w:t xml:space="preserve">Załącznik nr </w:t>
      </w:r>
      <w:r w:rsidRPr="00EE5AFB">
        <w:rPr>
          <w:rFonts w:ascii="Calibri" w:hAnsi="Calibri"/>
          <w:sz w:val="22"/>
          <w:szCs w:val="22"/>
        </w:rPr>
        <w:t>8</w:t>
      </w:r>
      <w:r>
        <w:rPr>
          <w:rFonts w:ascii="Calibri" w:hAnsi="Calibri"/>
          <w:sz w:val="22"/>
          <w:szCs w:val="22"/>
        </w:rPr>
        <w:t xml:space="preserve"> do Regulaminu wyboru projektów przyjętego uchwałą nr </w:t>
      </w:r>
      <w:bookmarkEnd w:id="0"/>
      <w:r w:rsidR="0057042A" w:rsidRPr="0057042A">
        <w:rPr>
          <w:rFonts w:ascii="Calibri" w:hAnsi="Calibri"/>
          <w:sz w:val="22"/>
          <w:szCs w:val="22"/>
        </w:rPr>
        <w:t>888/469/23 Zarządu Województwa Pomorskiego z dnia 27 lipca 2023 r.</w:t>
      </w:r>
      <w:bookmarkStart w:id="1" w:name="_GoBack"/>
      <w:bookmarkEnd w:id="1"/>
    </w:p>
    <w:p w14:paraId="4889E017" w14:textId="45E90CB6" w:rsidR="00B63831" w:rsidRPr="00B334CB" w:rsidRDefault="00B63831" w:rsidP="00254AED">
      <w:pPr>
        <w:spacing w:before="360" w:after="360" w:line="276" w:lineRule="auto"/>
        <w:jc w:val="center"/>
        <w:rPr>
          <w:rFonts w:ascii="Calibri" w:hAnsi="Calibri"/>
          <w:bCs/>
          <w:i/>
          <w:sz w:val="22"/>
          <w:szCs w:val="22"/>
        </w:rPr>
      </w:pPr>
      <w:r w:rsidRPr="00B334CB">
        <w:rPr>
          <w:rFonts w:ascii="Calibri" w:hAnsi="Calibri"/>
          <w:b/>
          <w:bCs/>
          <w:szCs w:val="22"/>
        </w:rPr>
        <w:t>Mechanizm monitorowania i wycofania</w:t>
      </w:r>
      <w:r w:rsidR="00670066" w:rsidRPr="00B334CB">
        <w:rPr>
          <w:rFonts w:ascii="Calibri" w:hAnsi="Calibri"/>
          <w:b/>
          <w:bCs/>
          <w:szCs w:val="22"/>
        </w:rPr>
        <w:t xml:space="preserve"> </w:t>
      </w:r>
      <w:bookmarkStart w:id="2" w:name="_Hlk118275339"/>
      <w:r w:rsidR="009B3B36">
        <w:rPr>
          <w:rFonts w:ascii="Calibri" w:hAnsi="Calibri"/>
          <w:b/>
          <w:bCs/>
          <w:szCs w:val="22"/>
        </w:rPr>
        <w:t>dla Projektu, w którym dofinansowanie jest udzielane na infrastrukturę, gdzie prowadzona jest pomocnicza działalność gospodarcza</w:t>
      </w:r>
      <w:r w:rsidR="00E32DD3">
        <w:rPr>
          <w:rFonts w:ascii="Calibri" w:hAnsi="Calibri"/>
          <w:b/>
          <w:bCs/>
          <w:szCs w:val="22"/>
        </w:rPr>
        <w:t xml:space="preserve"> w rozumieniu przepisów o pomocy publicznej</w:t>
      </w:r>
      <w:bookmarkEnd w:id="2"/>
    </w:p>
    <w:p w14:paraId="2EB58AC2" w14:textId="199BF8B2" w:rsidR="00B63831" w:rsidRPr="00B334CB" w:rsidRDefault="00B63831" w:rsidP="003676D6">
      <w:pPr>
        <w:pStyle w:val="Akapitzlist"/>
        <w:numPr>
          <w:ilvl w:val="0"/>
          <w:numId w:val="60"/>
        </w:numPr>
        <w:spacing w:after="40" w:line="276" w:lineRule="auto"/>
        <w:contextualSpacing w:val="0"/>
        <w:jc w:val="both"/>
        <w:rPr>
          <w:rFonts w:ascii="Calibri" w:hAnsi="Calibri"/>
          <w:bCs/>
          <w:sz w:val="22"/>
          <w:szCs w:val="22"/>
        </w:rPr>
      </w:pPr>
      <w:r w:rsidRPr="00B334CB">
        <w:rPr>
          <w:rStyle w:val="Nagwek1Znak"/>
        </w:rPr>
        <w:t xml:space="preserve">W przypadku, gdy </w:t>
      </w:r>
      <w:r w:rsidR="00470FE4" w:rsidRPr="00B334CB">
        <w:rPr>
          <w:rStyle w:val="Nagwek1Znak"/>
        </w:rPr>
        <w:t>d</w:t>
      </w:r>
      <w:r w:rsidRPr="00B334CB">
        <w:rPr>
          <w:rStyle w:val="Nagwek1Znak"/>
        </w:rPr>
        <w:t>ofinansowanie jest udzielane na inwestycje w</w:t>
      </w:r>
      <w:r w:rsidR="009B3B36">
        <w:rPr>
          <w:rStyle w:val="Nagwek1Znak"/>
        </w:rPr>
        <w:t xml:space="preserve"> infrastrukturę</w:t>
      </w:r>
      <w:r w:rsidRPr="00B334CB">
        <w:rPr>
          <w:rFonts w:ascii="Calibri" w:hAnsi="Calibri"/>
          <w:sz w:val="22"/>
          <w:szCs w:val="22"/>
        </w:rPr>
        <w:t>, która infrastruktura wykorzystywana będzie tak</w:t>
      </w:r>
      <w:r w:rsidR="00470FE4" w:rsidRPr="00B334CB">
        <w:rPr>
          <w:rFonts w:ascii="Calibri" w:hAnsi="Calibri"/>
          <w:sz w:val="22"/>
          <w:szCs w:val="22"/>
        </w:rPr>
        <w:t xml:space="preserve"> do działalności gospodarczej w</w:t>
      </w:r>
      <w:r w:rsidR="009B3B36">
        <w:rPr>
          <w:rFonts w:ascii="Calibri" w:hAnsi="Calibri"/>
          <w:sz w:val="22"/>
          <w:szCs w:val="22"/>
        </w:rPr>
        <w:t xml:space="preserve"> </w:t>
      </w:r>
      <w:r w:rsidRPr="00B334CB">
        <w:rPr>
          <w:rFonts w:ascii="Calibri" w:hAnsi="Calibri"/>
          <w:sz w:val="22"/>
          <w:szCs w:val="22"/>
        </w:rPr>
        <w:t xml:space="preserve">rozumieniu przepisów prawa Unii Europejskiej o pomocy publicznej, jak i do działalności niestanowiącej działalności gospodarczej, </w:t>
      </w:r>
      <w:r w:rsidR="009B3B36">
        <w:rPr>
          <w:rFonts w:ascii="Calibri" w:hAnsi="Calibri"/>
          <w:sz w:val="22"/>
          <w:szCs w:val="22"/>
        </w:rPr>
        <w:t xml:space="preserve">a działalność gospodarcza spełnia kryteria pomocniczej działalności gospodarczej </w:t>
      </w:r>
      <w:r w:rsidR="003E099F" w:rsidRPr="008A7316">
        <w:rPr>
          <w:rFonts w:asciiTheme="minorHAnsi" w:hAnsiTheme="minorHAnsi" w:cstheme="minorHAnsi"/>
          <w:spacing w:val="-4"/>
          <w:sz w:val="22"/>
          <w:szCs w:val="22"/>
        </w:rPr>
        <w:t xml:space="preserve">w rozumieniu pkt 207 </w:t>
      </w:r>
      <w:r w:rsidR="003E099F" w:rsidRPr="008A7316">
        <w:rPr>
          <w:rFonts w:asciiTheme="minorHAnsi" w:hAnsiTheme="minorHAnsi" w:cstheme="minorHAnsi"/>
          <w:sz w:val="22"/>
          <w:szCs w:val="22"/>
        </w:rPr>
        <w:t>Zawiadomienia Komisji w sprawie pojęcia pomocy państwa w rozumieniu art. 107 ust. 1 Traktatu o funkcjonowaniu Unii Europejskiej</w:t>
      </w:r>
      <w:r w:rsidR="003E099F" w:rsidRPr="008A731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3E099F">
        <w:rPr>
          <w:rFonts w:asciiTheme="minorHAnsi" w:hAnsiTheme="minorHAnsi" w:cstheme="minorHAnsi"/>
          <w:sz w:val="22"/>
          <w:szCs w:val="22"/>
        </w:rPr>
        <w:t xml:space="preserve">, </w:t>
      </w:r>
      <w:r w:rsidRPr="00B334CB">
        <w:rPr>
          <w:rFonts w:ascii="Calibri" w:hAnsi="Calibri"/>
          <w:sz w:val="22"/>
          <w:szCs w:val="22"/>
        </w:rPr>
        <w:t xml:space="preserve">zastosowanie znajdą postanowienia niniejszego </w:t>
      </w:r>
      <w:r w:rsidR="00470FE4" w:rsidRPr="00B334CB">
        <w:rPr>
          <w:rFonts w:ascii="Calibri" w:hAnsi="Calibri"/>
          <w:sz w:val="22"/>
          <w:szCs w:val="22"/>
        </w:rPr>
        <w:t>załącznika</w:t>
      </w:r>
      <w:r w:rsidRPr="00B334CB">
        <w:rPr>
          <w:rFonts w:ascii="Calibri" w:hAnsi="Calibri"/>
          <w:sz w:val="22"/>
          <w:szCs w:val="22"/>
        </w:rPr>
        <w:t>.</w:t>
      </w:r>
    </w:p>
    <w:p w14:paraId="05991164" w14:textId="689C9BE1" w:rsidR="00B63831" w:rsidRPr="00B334CB" w:rsidRDefault="00B63831" w:rsidP="003676D6">
      <w:pPr>
        <w:pStyle w:val="Akapitzlist"/>
        <w:numPr>
          <w:ilvl w:val="0"/>
          <w:numId w:val="60"/>
        </w:numPr>
        <w:spacing w:after="40" w:line="276" w:lineRule="auto"/>
        <w:contextualSpacing w:val="0"/>
        <w:jc w:val="both"/>
        <w:rPr>
          <w:rFonts w:ascii="Calibri" w:hAnsi="Calibri"/>
          <w:bCs/>
          <w:sz w:val="22"/>
          <w:szCs w:val="22"/>
        </w:rPr>
      </w:pPr>
      <w:r w:rsidRPr="00B334CB">
        <w:rPr>
          <w:rFonts w:ascii="Calibri" w:hAnsi="Calibri"/>
          <w:sz w:val="22"/>
          <w:szCs w:val="22"/>
        </w:rPr>
        <w:t xml:space="preserve">Zakres zastosowania niniejszego </w:t>
      </w:r>
      <w:r w:rsidR="00470FE4" w:rsidRPr="00B334CB">
        <w:rPr>
          <w:rFonts w:ascii="Calibri" w:hAnsi="Calibri"/>
          <w:sz w:val="22"/>
          <w:szCs w:val="22"/>
        </w:rPr>
        <w:t>załącznika</w:t>
      </w:r>
      <w:r w:rsidRPr="00B334CB">
        <w:rPr>
          <w:rFonts w:ascii="Calibri" w:hAnsi="Calibri"/>
          <w:sz w:val="22"/>
          <w:szCs w:val="22"/>
        </w:rPr>
        <w:t xml:space="preserve"> obejmuje</w:t>
      </w:r>
      <w:r w:rsidR="003E099F">
        <w:rPr>
          <w:rFonts w:ascii="Calibri" w:hAnsi="Calibri"/>
          <w:sz w:val="22"/>
          <w:szCs w:val="22"/>
        </w:rPr>
        <w:t xml:space="preserve"> opisaną we Wniosku o dofinansowanie infrastrukturę</w:t>
      </w:r>
      <w:r w:rsidR="00E92661">
        <w:rPr>
          <w:rFonts w:ascii="Calibri" w:hAnsi="Calibri"/>
          <w:sz w:val="22"/>
          <w:szCs w:val="22"/>
        </w:rPr>
        <w:t xml:space="preserve"> (dalej: „</w:t>
      </w:r>
      <w:r w:rsidR="00E92661" w:rsidRPr="00E92661">
        <w:rPr>
          <w:rFonts w:ascii="Calibri" w:hAnsi="Calibri"/>
          <w:b/>
          <w:sz w:val="22"/>
          <w:szCs w:val="22"/>
        </w:rPr>
        <w:t>Infrastruktura</w:t>
      </w:r>
      <w:r w:rsidR="00E92661">
        <w:rPr>
          <w:rFonts w:ascii="Calibri" w:hAnsi="Calibri"/>
          <w:sz w:val="22"/>
          <w:szCs w:val="22"/>
        </w:rPr>
        <w:t>”)</w:t>
      </w:r>
      <w:r w:rsidRPr="00B334CB">
        <w:rPr>
          <w:rFonts w:ascii="Calibri" w:hAnsi="Calibri"/>
          <w:sz w:val="22"/>
          <w:szCs w:val="22"/>
        </w:rPr>
        <w:t xml:space="preserve">, na </w:t>
      </w:r>
      <w:r w:rsidR="003E099F">
        <w:rPr>
          <w:rFonts w:ascii="Calibri" w:hAnsi="Calibri"/>
          <w:sz w:val="22"/>
          <w:szCs w:val="22"/>
        </w:rPr>
        <w:t xml:space="preserve">inwestycję w którą </w:t>
      </w:r>
      <w:r w:rsidRPr="00B334CB">
        <w:rPr>
          <w:rFonts w:ascii="Calibri" w:hAnsi="Calibri"/>
          <w:sz w:val="22"/>
          <w:szCs w:val="22"/>
        </w:rPr>
        <w:t xml:space="preserve">zostało udzielone </w:t>
      </w:r>
      <w:r w:rsidR="00470FE4" w:rsidRPr="00B334CB">
        <w:rPr>
          <w:rFonts w:ascii="Calibri" w:hAnsi="Calibri"/>
          <w:sz w:val="22"/>
          <w:szCs w:val="22"/>
        </w:rPr>
        <w:t>d</w:t>
      </w:r>
      <w:r w:rsidRPr="00B334CB">
        <w:rPr>
          <w:rFonts w:ascii="Calibri" w:hAnsi="Calibri"/>
          <w:sz w:val="22"/>
          <w:szCs w:val="22"/>
        </w:rPr>
        <w:t>ofinansowanie w ramach Projektu</w:t>
      </w:r>
      <w:r w:rsidR="003E099F">
        <w:rPr>
          <w:rFonts w:ascii="Calibri" w:hAnsi="Calibri"/>
          <w:sz w:val="22"/>
          <w:szCs w:val="22"/>
        </w:rPr>
        <w:t xml:space="preserve">, a na której Beneficjent zamierza prowadzić pomocniczą działalność gospodarczą w rozumieniu </w:t>
      </w:r>
      <w:r w:rsidR="003E099F" w:rsidRPr="008A7316">
        <w:rPr>
          <w:rFonts w:asciiTheme="minorHAnsi" w:hAnsiTheme="minorHAnsi" w:cstheme="minorHAnsi"/>
          <w:spacing w:val="-4"/>
          <w:sz w:val="22"/>
          <w:szCs w:val="22"/>
        </w:rPr>
        <w:t xml:space="preserve">pkt 207 </w:t>
      </w:r>
      <w:r w:rsidR="003E099F" w:rsidRPr="008A7316">
        <w:rPr>
          <w:rFonts w:asciiTheme="minorHAnsi" w:hAnsiTheme="minorHAnsi" w:cstheme="minorHAnsi"/>
          <w:sz w:val="22"/>
          <w:szCs w:val="22"/>
        </w:rPr>
        <w:t>Zawiadomienia Komisji w sprawie pojęcia pomocy państwa w rozumieniu art. 107 ust. 1 Traktatu o funkcjonowaniu Unii Europejskiej</w:t>
      </w:r>
      <w:r w:rsidR="003E099F">
        <w:rPr>
          <w:rFonts w:asciiTheme="minorHAnsi" w:hAnsiTheme="minorHAnsi" w:cstheme="minorHAnsi"/>
          <w:sz w:val="22"/>
          <w:szCs w:val="22"/>
        </w:rPr>
        <w:t xml:space="preserve">, tj. </w:t>
      </w:r>
      <w:r w:rsidR="00E92661" w:rsidRPr="00E92661">
        <w:rPr>
          <w:rFonts w:asciiTheme="minorHAnsi" w:hAnsiTheme="minorHAnsi" w:cstheme="minorHAnsi"/>
          <w:b/>
          <w:i/>
          <w:sz w:val="22"/>
          <w:szCs w:val="22"/>
        </w:rPr>
        <w:t>…</w:t>
      </w:r>
      <w:r w:rsidR="003E099F" w:rsidRPr="00E92661">
        <w:rPr>
          <w:rFonts w:asciiTheme="minorHAnsi" w:hAnsiTheme="minorHAnsi" w:cstheme="minorHAnsi"/>
          <w:b/>
          <w:i/>
          <w:sz w:val="22"/>
          <w:szCs w:val="22"/>
        </w:rPr>
        <w:t>[opis infrastruktury zgodny z Wnioskiem o dofinansowanie]</w:t>
      </w:r>
      <w:r w:rsidR="003E099F">
        <w:rPr>
          <w:rFonts w:asciiTheme="minorHAnsi" w:hAnsiTheme="minorHAnsi" w:cstheme="minorHAnsi"/>
          <w:sz w:val="22"/>
          <w:szCs w:val="22"/>
        </w:rPr>
        <w:t>.</w:t>
      </w:r>
    </w:p>
    <w:p w14:paraId="45CF047D" w14:textId="5EF35267" w:rsidR="00B63831" w:rsidRPr="00E92661" w:rsidRDefault="00B63831" w:rsidP="003E099F">
      <w:pPr>
        <w:pStyle w:val="Akapitzlist"/>
        <w:numPr>
          <w:ilvl w:val="0"/>
          <w:numId w:val="60"/>
        </w:numPr>
        <w:spacing w:after="40" w:line="276" w:lineRule="auto"/>
        <w:contextualSpacing w:val="0"/>
        <w:jc w:val="both"/>
        <w:rPr>
          <w:rFonts w:ascii="Calibri" w:hAnsi="Calibri"/>
          <w:bCs/>
          <w:sz w:val="22"/>
          <w:szCs w:val="22"/>
        </w:rPr>
      </w:pPr>
      <w:r w:rsidRPr="00E92661">
        <w:rPr>
          <w:rFonts w:ascii="Calibri" w:hAnsi="Calibri"/>
          <w:sz w:val="22"/>
          <w:szCs w:val="22"/>
        </w:rPr>
        <w:t xml:space="preserve">Okres stosowania mechanizmu monitorowania i wycofania, przewidzianego niniejszym </w:t>
      </w:r>
      <w:r w:rsidR="00470FE4" w:rsidRPr="00E92661">
        <w:rPr>
          <w:rFonts w:ascii="Calibri" w:hAnsi="Calibri"/>
          <w:sz w:val="22"/>
          <w:szCs w:val="22"/>
        </w:rPr>
        <w:t>załącznikiem</w:t>
      </w:r>
      <w:r w:rsidRPr="00E92661">
        <w:rPr>
          <w:rFonts w:ascii="Calibri" w:hAnsi="Calibri"/>
          <w:sz w:val="22"/>
          <w:szCs w:val="22"/>
        </w:rPr>
        <w:t xml:space="preserve">, odpowiada okresowi amortyzacji </w:t>
      </w:r>
      <w:r w:rsidR="000F20DC">
        <w:rPr>
          <w:rFonts w:ascii="Calibri" w:hAnsi="Calibri"/>
          <w:sz w:val="22"/>
          <w:szCs w:val="22"/>
        </w:rPr>
        <w:t xml:space="preserve">bilansowej </w:t>
      </w:r>
      <w:r w:rsidRPr="00E92661">
        <w:rPr>
          <w:rFonts w:ascii="Calibri" w:hAnsi="Calibri"/>
          <w:sz w:val="22"/>
          <w:szCs w:val="22"/>
        </w:rPr>
        <w:t xml:space="preserve">właściwemu dla tego składnika </w:t>
      </w:r>
      <w:r w:rsidR="00E92661">
        <w:rPr>
          <w:rFonts w:ascii="Calibri" w:hAnsi="Calibri"/>
          <w:sz w:val="22"/>
          <w:szCs w:val="22"/>
        </w:rPr>
        <w:t>I</w:t>
      </w:r>
      <w:r w:rsidRPr="00E92661">
        <w:rPr>
          <w:rFonts w:ascii="Calibri" w:hAnsi="Calibri"/>
          <w:sz w:val="22"/>
          <w:szCs w:val="22"/>
        </w:rPr>
        <w:t xml:space="preserve">nfrastruktury, który ma najdłuższy okres amortyzacji i wynosi </w:t>
      </w:r>
      <w:r w:rsidR="00470FE4" w:rsidRPr="00E92661">
        <w:rPr>
          <w:rFonts w:ascii="Calibri" w:hAnsi="Calibri"/>
          <w:b/>
          <w:i/>
          <w:sz w:val="22"/>
          <w:szCs w:val="22"/>
        </w:rPr>
        <w:t>…[długość okresu amortyzacji]…</w:t>
      </w:r>
      <w:r w:rsidR="00470FE4" w:rsidRPr="00E92661">
        <w:rPr>
          <w:rFonts w:ascii="Calibri" w:hAnsi="Calibri"/>
          <w:b/>
          <w:sz w:val="22"/>
          <w:szCs w:val="22"/>
        </w:rPr>
        <w:t xml:space="preserve"> </w:t>
      </w:r>
      <w:r w:rsidRPr="00E92661">
        <w:rPr>
          <w:rFonts w:ascii="Calibri" w:hAnsi="Calibri"/>
          <w:sz w:val="22"/>
          <w:szCs w:val="22"/>
        </w:rPr>
        <w:t>lat.</w:t>
      </w:r>
      <w:r w:rsidR="008B522E" w:rsidRPr="00E92661">
        <w:rPr>
          <w:rFonts w:ascii="Calibri" w:hAnsi="Calibri"/>
          <w:sz w:val="22"/>
          <w:szCs w:val="22"/>
        </w:rPr>
        <w:t xml:space="preserve"> Okres stosowania mechanizmu monitorowa</w:t>
      </w:r>
      <w:r w:rsidR="006D5038" w:rsidRPr="00E92661">
        <w:rPr>
          <w:rFonts w:ascii="Calibri" w:hAnsi="Calibri"/>
          <w:sz w:val="22"/>
          <w:szCs w:val="22"/>
        </w:rPr>
        <w:t>nia i wycofania rozpoczyna się od zakończenia realizacji Projektu</w:t>
      </w:r>
      <w:r w:rsidR="00C44A70" w:rsidRPr="00E92661">
        <w:rPr>
          <w:rStyle w:val="Odwoanieprzypisudolnego"/>
          <w:rFonts w:ascii="Calibri" w:hAnsi="Calibri"/>
          <w:sz w:val="22"/>
          <w:szCs w:val="22"/>
        </w:rPr>
        <w:footnoteReference w:id="2"/>
      </w:r>
      <w:r w:rsidR="006D5038" w:rsidRPr="00E92661">
        <w:rPr>
          <w:rFonts w:ascii="Calibri" w:hAnsi="Calibri"/>
          <w:sz w:val="22"/>
          <w:szCs w:val="22"/>
        </w:rPr>
        <w:t>.</w:t>
      </w:r>
    </w:p>
    <w:p w14:paraId="31EC0AE6" w14:textId="508757C8" w:rsidR="00B63831" w:rsidRPr="00B334CB" w:rsidRDefault="00B63831" w:rsidP="003676D6">
      <w:pPr>
        <w:pStyle w:val="Akapitzlist"/>
        <w:numPr>
          <w:ilvl w:val="0"/>
          <w:numId w:val="60"/>
        </w:numPr>
        <w:spacing w:after="40" w:line="276" w:lineRule="auto"/>
        <w:contextualSpacing w:val="0"/>
        <w:jc w:val="both"/>
        <w:rPr>
          <w:rFonts w:ascii="Calibri" w:hAnsi="Calibri"/>
          <w:sz w:val="22"/>
          <w:szCs w:val="22"/>
        </w:rPr>
      </w:pPr>
      <w:r w:rsidRPr="00B334CB">
        <w:rPr>
          <w:rFonts w:ascii="Calibri" w:hAnsi="Calibri"/>
          <w:spacing w:val="-4"/>
          <w:sz w:val="22"/>
          <w:szCs w:val="22"/>
        </w:rPr>
        <w:t xml:space="preserve">Monitorowanie wykorzystania </w:t>
      </w:r>
      <w:r w:rsidR="00E92661">
        <w:rPr>
          <w:rFonts w:ascii="Calibri" w:hAnsi="Calibri"/>
          <w:spacing w:val="-4"/>
          <w:sz w:val="22"/>
          <w:szCs w:val="22"/>
        </w:rPr>
        <w:t>I</w:t>
      </w:r>
      <w:r w:rsidRPr="00B334CB">
        <w:rPr>
          <w:rFonts w:ascii="Calibri" w:hAnsi="Calibri"/>
          <w:spacing w:val="-4"/>
          <w:sz w:val="22"/>
          <w:szCs w:val="22"/>
        </w:rPr>
        <w:t xml:space="preserve">nfrastruktury odbywa się w cyklach rocznych, tj. każdy cykl monitorowania obejmuje jeden rok </w:t>
      </w:r>
      <w:r w:rsidR="00B13EC9" w:rsidRPr="00B334CB">
        <w:rPr>
          <w:rFonts w:ascii="Calibri" w:hAnsi="Calibri"/>
          <w:spacing w:val="-4"/>
          <w:sz w:val="22"/>
          <w:szCs w:val="22"/>
        </w:rPr>
        <w:t>obrachunkowy Beneficjenta</w:t>
      </w:r>
      <w:r w:rsidR="00A74C13" w:rsidRPr="00B334CB">
        <w:rPr>
          <w:rFonts w:ascii="Calibri" w:hAnsi="Calibri"/>
          <w:spacing w:val="-4"/>
          <w:sz w:val="22"/>
          <w:szCs w:val="22"/>
        </w:rPr>
        <w:t>,</w:t>
      </w:r>
      <w:r w:rsidRPr="00B334CB">
        <w:rPr>
          <w:rFonts w:ascii="Calibri" w:hAnsi="Calibri"/>
          <w:spacing w:val="-4"/>
          <w:sz w:val="22"/>
          <w:szCs w:val="22"/>
        </w:rPr>
        <w:t xml:space="preserve"> będący rokiem sprawozdawczym.</w:t>
      </w:r>
      <w:r w:rsidR="006D5038" w:rsidRPr="00B334CB">
        <w:rPr>
          <w:rFonts w:ascii="Calibri" w:hAnsi="Calibri"/>
          <w:spacing w:val="-4"/>
          <w:sz w:val="22"/>
          <w:szCs w:val="22"/>
        </w:rPr>
        <w:t xml:space="preserve"> Jeżeli rozpoczęcie lub zakończenie okresu stosowania mechanizmu monitorowania i wycofania przypada w trakcie roku obrachunkowego Beneficjenta, dany cykl sprawozdawczy obejmuje niepełny rok obrachunkowy.</w:t>
      </w:r>
    </w:p>
    <w:p w14:paraId="476AEB14" w14:textId="21F51D97" w:rsidR="00B63831" w:rsidRPr="00B334CB" w:rsidRDefault="00B63831" w:rsidP="003676D6">
      <w:pPr>
        <w:pStyle w:val="Akapitzlist"/>
        <w:numPr>
          <w:ilvl w:val="0"/>
          <w:numId w:val="60"/>
        </w:numPr>
        <w:spacing w:after="40" w:line="276" w:lineRule="auto"/>
        <w:contextualSpacing w:val="0"/>
        <w:jc w:val="both"/>
        <w:rPr>
          <w:rFonts w:ascii="Calibri" w:hAnsi="Calibri"/>
          <w:bCs/>
          <w:sz w:val="22"/>
          <w:szCs w:val="22"/>
        </w:rPr>
      </w:pPr>
      <w:r w:rsidRPr="00B334CB">
        <w:rPr>
          <w:rFonts w:ascii="Calibri" w:hAnsi="Calibri"/>
          <w:sz w:val="22"/>
          <w:szCs w:val="22"/>
        </w:rPr>
        <w:t xml:space="preserve">Monitorowanie wykorzystania </w:t>
      </w:r>
      <w:r w:rsidR="00E92661">
        <w:rPr>
          <w:rFonts w:ascii="Calibri" w:hAnsi="Calibri"/>
          <w:sz w:val="22"/>
          <w:szCs w:val="22"/>
        </w:rPr>
        <w:t>I</w:t>
      </w:r>
      <w:r w:rsidR="00647028" w:rsidRPr="003E099F">
        <w:rPr>
          <w:rFonts w:ascii="Calibri" w:hAnsi="Calibri"/>
          <w:sz w:val="22"/>
          <w:szCs w:val="22"/>
        </w:rPr>
        <w:t>nfrastrukt</w:t>
      </w:r>
      <w:r w:rsidR="00C8742C" w:rsidRPr="003E099F">
        <w:rPr>
          <w:rFonts w:ascii="Calibri" w:hAnsi="Calibri"/>
          <w:sz w:val="22"/>
          <w:szCs w:val="22"/>
        </w:rPr>
        <w:t>ur</w:t>
      </w:r>
      <w:r w:rsidR="00647028" w:rsidRPr="003E099F">
        <w:rPr>
          <w:rFonts w:ascii="Calibri" w:hAnsi="Calibri"/>
          <w:sz w:val="22"/>
          <w:szCs w:val="22"/>
        </w:rPr>
        <w:t>y</w:t>
      </w:r>
      <w:r w:rsidR="00C8742C" w:rsidRPr="003E099F">
        <w:rPr>
          <w:rFonts w:ascii="Calibri" w:hAnsi="Calibri"/>
          <w:sz w:val="22"/>
          <w:szCs w:val="22"/>
        </w:rPr>
        <w:t xml:space="preserve"> </w:t>
      </w:r>
      <w:r w:rsidR="00470FE4" w:rsidRPr="003E099F">
        <w:rPr>
          <w:rFonts w:ascii="Calibri" w:hAnsi="Calibri"/>
          <w:sz w:val="22"/>
          <w:szCs w:val="22"/>
        </w:rPr>
        <w:t>odbywa się w</w:t>
      </w:r>
      <w:r w:rsidR="003E099F" w:rsidRPr="003E099F">
        <w:rPr>
          <w:rFonts w:ascii="Calibri" w:hAnsi="Calibri"/>
          <w:sz w:val="22"/>
          <w:szCs w:val="22"/>
        </w:rPr>
        <w:t xml:space="preserve"> </w:t>
      </w:r>
      <w:r w:rsidRPr="003E099F">
        <w:rPr>
          <w:rFonts w:ascii="Calibri" w:hAnsi="Calibri"/>
          <w:sz w:val="22"/>
          <w:szCs w:val="22"/>
        </w:rPr>
        <w:t>oparciu o kryterium</w:t>
      </w:r>
      <w:r w:rsidR="003E099F" w:rsidRPr="003E099F">
        <w:rPr>
          <w:rFonts w:ascii="Calibri" w:hAnsi="Calibri"/>
          <w:sz w:val="22"/>
          <w:szCs w:val="22"/>
        </w:rPr>
        <w:t xml:space="preserve"> </w:t>
      </w:r>
      <w:r w:rsidR="00E92661" w:rsidRPr="00E92661">
        <w:rPr>
          <w:rFonts w:ascii="Calibri" w:hAnsi="Calibri"/>
          <w:b/>
          <w:i/>
          <w:sz w:val="22"/>
          <w:szCs w:val="22"/>
        </w:rPr>
        <w:t>[opis kryterium zgodnie z</w:t>
      </w:r>
      <w:r w:rsidR="003E099F" w:rsidRPr="00E92661">
        <w:rPr>
          <w:rFonts w:ascii="Calibri" w:hAnsi="Calibri"/>
          <w:b/>
          <w:i/>
          <w:sz w:val="22"/>
          <w:szCs w:val="22"/>
        </w:rPr>
        <w:t xml:space="preserve"> Wniosk</w:t>
      </w:r>
      <w:r w:rsidR="00E92661" w:rsidRPr="00E92661">
        <w:rPr>
          <w:rFonts w:ascii="Calibri" w:hAnsi="Calibri"/>
          <w:b/>
          <w:i/>
          <w:sz w:val="22"/>
          <w:szCs w:val="22"/>
        </w:rPr>
        <w:t>iem</w:t>
      </w:r>
      <w:r w:rsidR="003E099F" w:rsidRPr="00E92661">
        <w:rPr>
          <w:rFonts w:ascii="Calibri" w:hAnsi="Calibri"/>
          <w:b/>
          <w:i/>
          <w:sz w:val="22"/>
          <w:szCs w:val="22"/>
        </w:rPr>
        <w:t xml:space="preserve"> o dofinansowanie, w szczególności</w:t>
      </w:r>
      <w:r w:rsidRPr="00E92661">
        <w:rPr>
          <w:rFonts w:ascii="Calibri" w:hAnsi="Calibri"/>
          <w:b/>
          <w:i/>
          <w:sz w:val="22"/>
          <w:szCs w:val="22"/>
        </w:rPr>
        <w:t xml:space="preserve"> powierzchni albo czasu wykorzystania </w:t>
      </w:r>
      <w:r w:rsidR="00E92661" w:rsidRPr="00E92661">
        <w:rPr>
          <w:rFonts w:ascii="Calibri" w:hAnsi="Calibri"/>
          <w:b/>
          <w:i/>
          <w:sz w:val="22"/>
          <w:szCs w:val="22"/>
        </w:rPr>
        <w:t>I</w:t>
      </w:r>
      <w:r w:rsidR="00C44A70" w:rsidRPr="00E92661">
        <w:rPr>
          <w:rFonts w:ascii="Calibri" w:hAnsi="Calibri"/>
          <w:b/>
          <w:i/>
          <w:sz w:val="22"/>
          <w:szCs w:val="22"/>
        </w:rPr>
        <w:t>nfrastruktury</w:t>
      </w:r>
      <w:r w:rsidR="00E92661" w:rsidRPr="00E92661">
        <w:rPr>
          <w:rFonts w:ascii="Calibri" w:hAnsi="Calibri"/>
          <w:b/>
          <w:i/>
          <w:sz w:val="22"/>
          <w:szCs w:val="22"/>
        </w:rPr>
        <w:t>]</w:t>
      </w:r>
      <w:r w:rsidRPr="00B334CB">
        <w:rPr>
          <w:rFonts w:ascii="Calibri" w:hAnsi="Calibri"/>
          <w:sz w:val="22"/>
          <w:szCs w:val="22"/>
        </w:rPr>
        <w:t xml:space="preserve">. </w:t>
      </w:r>
    </w:p>
    <w:p w14:paraId="23192C5F" w14:textId="343BB23D" w:rsidR="00C8742C" w:rsidRPr="00B334CB" w:rsidRDefault="00C8742C" w:rsidP="00E92661">
      <w:pPr>
        <w:pStyle w:val="Akapitzlist"/>
        <w:numPr>
          <w:ilvl w:val="0"/>
          <w:numId w:val="60"/>
        </w:numPr>
        <w:spacing w:after="40" w:line="276" w:lineRule="auto"/>
        <w:contextualSpacing w:val="0"/>
        <w:jc w:val="both"/>
        <w:rPr>
          <w:rFonts w:ascii="Calibri" w:hAnsi="Calibri"/>
          <w:bCs/>
          <w:sz w:val="22"/>
          <w:szCs w:val="22"/>
        </w:rPr>
      </w:pPr>
      <w:r w:rsidRPr="00B334CB">
        <w:rPr>
          <w:rFonts w:ascii="Calibri" w:hAnsi="Calibri"/>
          <w:sz w:val="22"/>
          <w:szCs w:val="22"/>
        </w:rPr>
        <w:t xml:space="preserve">Beneficjent oświadcza, że </w:t>
      </w:r>
      <w:r w:rsidR="00E92661">
        <w:rPr>
          <w:rFonts w:ascii="Calibri" w:hAnsi="Calibri"/>
          <w:sz w:val="22"/>
          <w:szCs w:val="22"/>
        </w:rPr>
        <w:t>I</w:t>
      </w:r>
      <w:r w:rsidRPr="00B334CB">
        <w:rPr>
          <w:rFonts w:ascii="Calibri" w:hAnsi="Calibri"/>
          <w:sz w:val="22"/>
          <w:szCs w:val="22"/>
        </w:rPr>
        <w:t xml:space="preserve">nfrastruktura jako całość będzie w skali roku wykorzystywana do prowadzenia działalności gospodarczej nie więcej niż w </w:t>
      </w:r>
      <w:r w:rsidR="00E92661">
        <w:rPr>
          <w:rFonts w:ascii="Calibri" w:hAnsi="Calibri"/>
          <w:sz w:val="22"/>
          <w:szCs w:val="22"/>
        </w:rPr>
        <w:t xml:space="preserve">20% w odniesieniu do kryterium, o którym mowa w </w:t>
      </w:r>
      <w:r w:rsidR="000F20DC">
        <w:rPr>
          <w:rFonts w:ascii="Calibri" w:hAnsi="Calibri"/>
          <w:sz w:val="22"/>
          <w:szCs w:val="22"/>
        </w:rPr>
        <w:t>ust.</w:t>
      </w:r>
      <w:r w:rsidR="00E92661">
        <w:rPr>
          <w:rFonts w:ascii="Calibri" w:hAnsi="Calibri"/>
          <w:sz w:val="22"/>
          <w:szCs w:val="22"/>
        </w:rPr>
        <w:t xml:space="preserve"> 5. </w:t>
      </w:r>
    </w:p>
    <w:p w14:paraId="6F4CF132" w14:textId="77DC8745" w:rsidR="00B63831" w:rsidRPr="00B334CB" w:rsidRDefault="00B63831" w:rsidP="003676D6">
      <w:pPr>
        <w:pStyle w:val="Akapitzlist"/>
        <w:numPr>
          <w:ilvl w:val="0"/>
          <w:numId w:val="60"/>
        </w:numPr>
        <w:spacing w:after="40" w:line="276" w:lineRule="auto"/>
        <w:contextualSpacing w:val="0"/>
        <w:jc w:val="both"/>
        <w:rPr>
          <w:rFonts w:ascii="Calibri" w:hAnsi="Calibri"/>
          <w:bCs/>
          <w:sz w:val="22"/>
          <w:szCs w:val="22"/>
        </w:rPr>
      </w:pPr>
      <w:r w:rsidRPr="00B334CB">
        <w:rPr>
          <w:rFonts w:ascii="Calibri" w:hAnsi="Calibri"/>
          <w:sz w:val="22"/>
          <w:szCs w:val="22"/>
        </w:rPr>
        <w:t xml:space="preserve">Beneficjent jest zobowiązany do składania do Instytucji Zarządzającej rocznych sprawozdań o zakresie działalności gospodarczej prowadzonej na </w:t>
      </w:r>
      <w:r w:rsidR="00E92661">
        <w:rPr>
          <w:rFonts w:ascii="Calibri" w:hAnsi="Calibri"/>
          <w:sz w:val="22"/>
          <w:szCs w:val="22"/>
        </w:rPr>
        <w:t>I</w:t>
      </w:r>
      <w:r w:rsidRPr="00B334CB">
        <w:rPr>
          <w:rFonts w:ascii="Calibri" w:hAnsi="Calibri"/>
          <w:sz w:val="22"/>
          <w:szCs w:val="22"/>
        </w:rPr>
        <w:t xml:space="preserve">nfrastrukturze, </w:t>
      </w:r>
      <w:r w:rsidR="00647028" w:rsidRPr="00B334CB">
        <w:rPr>
          <w:rFonts w:ascii="Calibri" w:hAnsi="Calibri"/>
          <w:sz w:val="22"/>
          <w:szCs w:val="22"/>
        </w:rPr>
        <w:t>do 20 dnia</w:t>
      </w:r>
      <w:r w:rsidRPr="00B334CB">
        <w:rPr>
          <w:rFonts w:ascii="Calibri" w:hAnsi="Calibri"/>
          <w:sz w:val="22"/>
          <w:szCs w:val="22"/>
        </w:rPr>
        <w:t xml:space="preserve"> roku</w:t>
      </w:r>
      <w:r w:rsidR="00647028" w:rsidRPr="00B334CB">
        <w:rPr>
          <w:rFonts w:ascii="Calibri" w:hAnsi="Calibri"/>
          <w:sz w:val="22"/>
          <w:szCs w:val="22"/>
        </w:rPr>
        <w:t xml:space="preserve"> obrachunkowego</w:t>
      </w:r>
      <w:r w:rsidRPr="00B334CB">
        <w:rPr>
          <w:rFonts w:ascii="Calibri" w:hAnsi="Calibri"/>
          <w:sz w:val="22"/>
          <w:szCs w:val="22"/>
        </w:rPr>
        <w:t xml:space="preserve"> następującego po roku</w:t>
      </w:r>
      <w:r w:rsidR="00094B29" w:rsidRPr="00B334CB">
        <w:rPr>
          <w:rFonts w:ascii="Calibri" w:hAnsi="Calibri"/>
          <w:sz w:val="22"/>
          <w:szCs w:val="22"/>
        </w:rPr>
        <w:t>, którego dotyczy sprawozdanie.</w:t>
      </w:r>
    </w:p>
    <w:p w14:paraId="75CDFC87" w14:textId="77777777" w:rsidR="00B63831" w:rsidRPr="00B334CB" w:rsidRDefault="00B63831" w:rsidP="003676D6">
      <w:pPr>
        <w:pStyle w:val="Akapitzlist"/>
        <w:numPr>
          <w:ilvl w:val="0"/>
          <w:numId w:val="60"/>
        </w:numPr>
        <w:spacing w:after="40" w:line="276" w:lineRule="auto"/>
        <w:contextualSpacing w:val="0"/>
        <w:jc w:val="both"/>
        <w:rPr>
          <w:rFonts w:ascii="Calibri" w:hAnsi="Calibri"/>
          <w:bCs/>
          <w:sz w:val="22"/>
          <w:szCs w:val="22"/>
        </w:rPr>
      </w:pPr>
      <w:r w:rsidRPr="00B334CB">
        <w:rPr>
          <w:rFonts w:ascii="Calibri" w:hAnsi="Calibri"/>
          <w:sz w:val="22"/>
          <w:szCs w:val="22"/>
        </w:rPr>
        <w:t>Sprawozdanie zawiera w szczególności:</w:t>
      </w:r>
    </w:p>
    <w:p w14:paraId="7A5DC080" w14:textId="283D3A68" w:rsidR="00B63831" w:rsidRPr="00B334CB" w:rsidRDefault="00B63831" w:rsidP="003676D6">
      <w:pPr>
        <w:pStyle w:val="Akapitzlist"/>
        <w:numPr>
          <w:ilvl w:val="1"/>
          <w:numId w:val="48"/>
        </w:numPr>
        <w:spacing w:after="40" w:line="276" w:lineRule="auto"/>
        <w:contextualSpacing w:val="0"/>
        <w:jc w:val="both"/>
        <w:rPr>
          <w:rStyle w:val="Nagwek1Znak"/>
        </w:rPr>
      </w:pPr>
      <w:r w:rsidRPr="00B334CB">
        <w:rPr>
          <w:rStyle w:val="Nagwek1Znak"/>
        </w:rPr>
        <w:t xml:space="preserve">całkowity poziom wykorzystania </w:t>
      </w:r>
      <w:r w:rsidR="00E32DD3">
        <w:rPr>
          <w:rStyle w:val="Nagwek1Znak"/>
        </w:rPr>
        <w:t>Infrastruktury</w:t>
      </w:r>
      <w:r w:rsidRPr="00B334CB">
        <w:rPr>
          <w:rStyle w:val="Nagwek1Znak"/>
        </w:rPr>
        <w:t xml:space="preserve"> w roku, którego dotyczy sprawozdanie, wyrażony we wskaźniku wybranym do monitorowania danego składnika;</w:t>
      </w:r>
    </w:p>
    <w:p w14:paraId="79AED945" w14:textId="4EC0DFE7" w:rsidR="00B63831" w:rsidRPr="00B334CB" w:rsidRDefault="00B63831" w:rsidP="003676D6">
      <w:pPr>
        <w:pStyle w:val="Akapitzlist"/>
        <w:numPr>
          <w:ilvl w:val="1"/>
          <w:numId w:val="48"/>
        </w:numPr>
        <w:spacing w:after="40" w:line="276" w:lineRule="auto"/>
        <w:contextualSpacing w:val="0"/>
        <w:jc w:val="both"/>
        <w:rPr>
          <w:rStyle w:val="Nagwek1Znak"/>
        </w:rPr>
      </w:pPr>
      <w:r w:rsidRPr="00B334CB">
        <w:rPr>
          <w:rStyle w:val="Nagwek1Znak"/>
        </w:rPr>
        <w:t xml:space="preserve">poziom wykorzystania </w:t>
      </w:r>
      <w:r w:rsidR="00E32DD3">
        <w:rPr>
          <w:rStyle w:val="Nagwek1Znak"/>
        </w:rPr>
        <w:t xml:space="preserve">Infrastruktury </w:t>
      </w:r>
      <w:r w:rsidRPr="00B334CB">
        <w:rPr>
          <w:rStyle w:val="Nagwek1Znak"/>
        </w:rPr>
        <w:t xml:space="preserve">do prowadzenia działalności gospodarczej w roku, którego dotyczy sprawozdanie, wyrażonej we wskaźniku wybranym do monitorowania </w:t>
      </w:r>
      <w:r w:rsidR="00E32DD3">
        <w:rPr>
          <w:rStyle w:val="Nagwek1Znak"/>
        </w:rPr>
        <w:t>I</w:t>
      </w:r>
      <w:r w:rsidRPr="00B334CB">
        <w:rPr>
          <w:rStyle w:val="Nagwek1Znak"/>
        </w:rPr>
        <w:t>nfrastruktury;</w:t>
      </w:r>
    </w:p>
    <w:p w14:paraId="43D22620" w14:textId="11833F1E" w:rsidR="00B63831" w:rsidRPr="00B334CB" w:rsidRDefault="00B63831" w:rsidP="003676D6">
      <w:pPr>
        <w:pStyle w:val="Akapitzlist"/>
        <w:numPr>
          <w:ilvl w:val="1"/>
          <w:numId w:val="48"/>
        </w:numPr>
        <w:spacing w:after="40" w:line="276" w:lineRule="auto"/>
        <w:contextualSpacing w:val="0"/>
        <w:jc w:val="both"/>
        <w:rPr>
          <w:rStyle w:val="Nagwek1Znak"/>
        </w:rPr>
      </w:pPr>
      <w:r w:rsidRPr="00B334CB">
        <w:rPr>
          <w:rStyle w:val="Nagwek1Znak"/>
        </w:rPr>
        <w:lastRenderedPageBreak/>
        <w:t xml:space="preserve">poziom wykorzystania </w:t>
      </w:r>
      <w:r w:rsidR="00E32DD3">
        <w:rPr>
          <w:rStyle w:val="Nagwek1Znak"/>
        </w:rPr>
        <w:t>Infrastruktury</w:t>
      </w:r>
      <w:r w:rsidRPr="00B334CB">
        <w:rPr>
          <w:rStyle w:val="Nagwek1Znak"/>
        </w:rPr>
        <w:t xml:space="preserve"> do prowadzenia działalności niestanowiącej działalności gospodarczej w roku, którego dotyczy sprawozdanie, wyrażonej we wskaźniku wybranym do monitorowania </w:t>
      </w:r>
      <w:r w:rsidR="00E32DD3">
        <w:rPr>
          <w:rStyle w:val="Nagwek1Znak"/>
        </w:rPr>
        <w:t>I</w:t>
      </w:r>
      <w:r w:rsidRPr="00B334CB">
        <w:rPr>
          <w:rStyle w:val="Nagwek1Znak"/>
        </w:rPr>
        <w:t>nfrastruktury;</w:t>
      </w:r>
    </w:p>
    <w:p w14:paraId="4E7834E3" w14:textId="5551BDE6" w:rsidR="00B63831" w:rsidRPr="00B334CB" w:rsidRDefault="00B63831" w:rsidP="003676D6">
      <w:pPr>
        <w:pStyle w:val="Akapitzlist"/>
        <w:numPr>
          <w:ilvl w:val="1"/>
          <w:numId w:val="48"/>
        </w:numPr>
        <w:spacing w:after="40" w:line="276" w:lineRule="auto"/>
        <w:contextualSpacing w:val="0"/>
        <w:jc w:val="both"/>
        <w:rPr>
          <w:rStyle w:val="Nagwek1Znak"/>
          <w:spacing w:val="-2"/>
        </w:rPr>
      </w:pPr>
      <w:r w:rsidRPr="00B334CB">
        <w:rPr>
          <w:rStyle w:val="Nagwek1Znak"/>
          <w:spacing w:val="-2"/>
        </w:rPr>
        <w:t xml:space="preserve">dokumenty potwierdzające poziom wskaźników, o których mowa w pkt </w:t>
      </w:r>
      <w:r w:rsidR="00F7129B" w:rsidRPr="00B334CB">
        <w:rPr>
          <w:rStyle w:val="Nagwek1Znak"/>
          <w:spacing w:val="-2"/>
        </w:rPr>
        <w:t xml:space="preserve">1, </w:t>
      </w:r>
      <w:r w:rsidRPr="00B334CB">
        <w:rPr>
          <w:rStyle w:val="Nagwek1Znak"/>
          <w:spacing w:val="-2"/>
        </w:rPr>
        <w:t>2</w:t>
      </w:r>
      <w:r w:rsidR="00E32DD3">
        <w:rPr>
          <w:rStyle w:val="Nagwek1Znak"/>
          <w:spacing w:val="-2"/>
        </w:rPr>
        <w:t xml:space="preserve"> i</w:t>
      </w:r>
      <w:r w:rsidRPr="00B334CB">
        <w:rPr>
          <w:rStyle w:val="Nagwek1Znak"/>
          <w:spacing w:val="-2"/>
        </w:rPr>
        <w:t xml:space="preserve"> 3, w szczególności wyciąg z dokumentacji księgowej w zakresie danego roku, wykaz usług dokonanych za pomocą danego składnika infrastruktury wraz z czasem zaangażowania go do danej usługi oraz przypisaniem usługi do działalności gospodarczej albo działalności niestanowiącej działalności gospodarczej.</w:t>
      </w:r>
    </w:p>
    <w:p w14:paraId="7491BA35" w14:textId="633F4A57" w:rsidR="00B63831" w:rsidRPr="00B334CB" w:rsidRDefault="00B63831" w:rsidP="003676D6">
      <w:pPr>
        <w:pStyle w:val="Akapitzlist"/>
        <w:numPr>
          <w:ilvl w:val="0"/>
          <w:numId w:val="60"/>
        </w:numPr>
        <w:spacing w:after="40" w:line="276" w:lineRule="auto"/>
        <w:contextualSpacing w:val="0"/>
        <w:jc w:val="both"/>
        <w:rPr>
          <w:rStyle w:val="Nagwek1Znak"/>
          <w:spacing w:val="-4"/>
        </w:rPr>
      </w:pPr>
      <w:r w:rsidRPr="00B334CB">
        <w:rPr>
          <w:rStyle w:val="Nagwek1Znak"/>
          <w:spacing w:val="-4"/>
        </w:rPr>
        <w:t>W przypadku</w:t>
      </w:r>
      <w:r w:rsidR="00A33981">
        <w:rPr>
          <w:rStyle w:val="Nagwek1Znak"/>
          <w:spacing w:val="-4"/>
        </w:rPr>
        <w:t xml:space="preserve">, gdy </w:t>
      </w:r>
      <w:r w:rsidRPr="00B334CB">
        <w:rPr>
          <w:rStyle w:val="Nagwek1Znak"/>
          <w:spacing w:val="-4"/>
        </w:rPr>
        <w:t>w danym roku sprawozdawczym poziomu zaangażowa</w:t>
      </w:r>
      <w:r w:rsidRPr="00A33981">
        <w:rPr>
          <w:rStyle w:val="Nagwek1Znak"/>
          <w:spacing w:val="-4"/>
        </w:rPr>
        <w:t xml:space="preserve">nia </w:t>
      </w:r>
      <w:r w:rsidR="00A33981" w:rsidRPr="00A33981">
        <w:rPr>
          <w:rStyle w:val="Nagwek1Znak"/>
          <w:spacing w:val="-4"/>
        </w:rPr>
        <w:t>Infrastruktury</w:t>
      </w:r>
      <w:r w:rsidRPr="00B334CB">
        <w:rPr>
          <w:rStyle w:val="Nagwek1Znak"/>
          <w:spacing w:val="-4"/>
        </w:rPr>
        <w:t xml:space="preserve"> do prowadzenia działalności gospodarczej</w:t>
      </w:r>
      <w:r w:rsidR="00A33981">
        <w:rPr>
          <w:rStyle w:val="Nagwek1Znak"/>
          <w:spacing w:val="-4"/>
        </w:rPr>
        <w:t xml:space="preserve"> przekroczy 20%</w:t>
      </w:r>
      <w:r w:rsidRPr="00B334CB">
        <w:rPr>
          <w:rStyle w:val="Nagwek1Znak"/>
          <w:spacing w:val="-4"/>
        </w:rPr>
        <w:t xml:space="preserve">, Beneficjent będzie zobowiązany do zwrotu części </w:t>
      </w:r>
      <w:r w:rsidR="00971EF6" w:rsidRPr="00B334CB">
        <w:rPr>
          <w:rStyle w:val="Nagwek1Znak"/>
          <w:spacing w:val="-4"/>
        </w:rPr>
        <w:t>d</w:t>
      </w:r>
      <w:r w:rsidRPr="00B334CB">
        <w:rPr>
          <w:rStyle w:val="Nagwek1Znak"/>
          <w:spacing w:val="-4"/>
        </w:rPr>
        <w:t>ofinansowania, wyliczonej według poniższego wzoru:</w:t>
      </w:r>
    </w:p>
    <w:p w14:paraId="0156AB5D" w14:textId="77777777" w:rsidR="000F20DC" w:rsidRDefault="000F20DC" w:rsidP="00A33981">
      <w:pPr>
        <w:spacing w:before="240" w:after="240" w:line="276" w:lineRule="auto"/>
        <w:jc w:val="center"/>
        <w:rPr>
          <w:rStyle w:val="Nagwek1Znak"/>
          <w:rFonts w:ascii="Cambria Math" w:hAnsi="Cambria Math"/>
          <w:b/>
          <w:spacing w:val="28"/>
        </w:rPr>
      </w:pPr>
    </w:p>
    <w:p w14:paraId="66F0E0F7" w14:textId="700FF51A" w:rsidR="00674997" w:rsidRPr="00B334CB" w:rsidRDefault="000F20DC" w:rsidP="00A33981">
      <w:pPr>
        <w:spacing w:before="240" w:after="240" w:line="276" w:lineRule="auto"/>
        <w:jc w:val="center"/>
        <w:rPr>
          <w:rStyle w:val="Nagwek1Znak"/>
          <w:rFonts w:ascii="Cambria Math" w:hAnsi="Cambria Math"/>
          <w:b/>
          <w:spacing w:val="28"/>
        </w:rPr>
      </w:pPr>
      <m:oMathPara>
        <m:oMath>
          <m:r>
            <m:rPr>
              <m:sty m:val="bi"/>
            </m:rPr>
            <w:rPr>
              <w:rStyle w:val="Nagwek1Znak"/>
              <w:rFonts w:ascii="Cambria Math" w:hAnsi="Cambria Math"/>
              <w:spacing w:val="28"/>
            </w:rPr>
            <m:t>Z=</m:t>
          </m:r>
          <m:f>
            <m:fPr>
              <m:ctrlPr>
                <w:rPr>
                  <w:rStyle w:val="Nagwek1Znak"/>
                  <w:rFonts w:ascii="Cambria Math" w:hAnsi="Cambria Math"/>
                  <w:b/>
                  <w:bCs w:val="0"/>
                  <w:i/>
                  <w:spacing w:val="28"/>
                </w:rPr>
              </m:ctrlPr>
            </m:fPr>
            <m:num>
              <m:r>
                <m:rPr>
                  <m:sty m:val="bi"/>
                </m:rPr>
                <w:rPr>
                  <w:rStyle w:val="Nagwek1Znak"/>
                  <w:rFonts w:ascii="Cambria Math" w:hAnsi="Cambria Math"/>
                  <w:spacing w:val="28"/>
                </w:rPr>
                <m:t>DOF</m:t>
              </m:r>
            </m:num>
            <m:den>
              <m:r>
                <m:rPr>
                  <m:sty m:val="bi"/>
                </m:rPr>
                <w:rPr>
                  <w:rStyle w:val="Nagwek1Znak"/>
                  <w:rFonts w:ascii="Cambria Math" w:hAnsi="Cambria Math"/>
                  <w:spacing w:val="28"/>
                </w:rPr>
                <m:t>OA</m:t>
              </m:r>
            </m:den>
          </m:f>
          <m:r>
            <m:rPr>
              <m:sty m:val="bi"/>
            </m:rPr>
            <w:rPr>
              <w:rStyle w:val="Nagwek1Znak"/>
              <w:rFonts w:ascii="Cambria Math" w:hAnsi="Cambria Math"/>
              <w:spacing w:val="28"/>
            </w:rPr>
            <m:t xml:space="preserve"> x DG</m:t>
          </m:r>
        </m:oMath>
      </m:oMathPara>
    </w:p>
    <w:p w14:paraId="41F34A75" w14:textId="38E5153F" w:rsidR="00674997" w:rsidRPr="00B334CB" w:rsidRDefault="00674997" w:rsidP="009D1A4A">
      <w:pPr>
        <w:tabs>
          <w:tab w:val="left" w:pos="851"/>
        </w:tabs>
        <w:spacing w:before="240" w:after="240" w:line="276" w:lineRule="auto"/>
        <w:ind w:left="851"/>
        <w:jc w:val="center"/>
        <w:rPr>
          <w:rStyle w:val="Nagwek1Znak"/>
          <w:b/>
        </w:rPr>
      </w:pPr>
    </w:p>
    <w:p w14:paraId="2D7C4578" w14:textId="77777777" w:rsidR="0089778B" w:rsidRPr="00B334CB" w:rsidRDefault="0089778B" w:rsidP="009D1A4A">
      <w:pPr>
        <w:tabs>
          <w:tab w:val="left" w:pos="851"/>
        </w:tabs>
        <w:spacing w:after="40" w:line="276" w:lineRule="auto"/>
        <w:ind w:left="851"/>
        <w:jc w:val="both"/>
        <w:rPr>
          <w:rStyle w:val="Nagwek1Znak"/>
          <w:b/>
        </w:rPr>
      </w:pPr>
    </w:p>
    <w:p w14:paraId="1381D3B4" w14:textId="77777777" w:rsidR="00B63831" w:rsidRPr="00B334CB" w:rsidRDefault="00B63831" w:rsidP="009D1A4A">
      <w:pPr>
        <w:tabs>
          <w:tab w:val="left" w:pos="851"/>
        </w:tabs>
        <w:spacing w:after="40" w:line="276" w:lineRule="auto"/>
        <w:ind w:left="851"/>
        <w:jc w:val="both"/>
        <w:rPr>
          <w:rStyle w:val="Nagwek1Znak"/>
          <w:u w:val="single"/>
        </w:rPr>
      </w:pPr>
      <w:r w:rsidRPr="00B334CB">
        <w:rPr>
          <w:rStyle w:val="Nagwek1Znak"/>
          <w:u w:val="single"/>
        </w:rPr>
        <w:t>gdzie:</w:t>
      </w:r>
    </w:p>
    <w:p w14:paraId="76A36253" w14:textId="77777777" w:rsidR="00B63831" w:rsidRPr="00B334CB" w:rsidRDefault="00B63831" w:rsidP="009D1A4A">
      <w:pPr>
        <w:tabs>
          <w:tab w:val="left" w:pos="851"/>
        </w:tabs>
        <w:spacing w:after="40" w:line="276" w:lineRule="auto"/>
        <w:ind w:left="851"/>
        <w:jc w:val="both"/>
        <w:rPr>
          <w:rStyle w:val="Nagwek1Znak"/>
        </w:rPr>
      </w:pPr>
      <w:r w:rsidRPr="00B334CB">
        <w:rPr>
          <w:rStyle w:val="Nagwek1Znak"/>
          <w:b/>
        </w:rPr>
        <w:t>Z</w:t>
      </w:r>
      <w:r w:rsidRPr="00B334CB">
        <w:rPr>
          <w:rStyle w:val="Nagwek1Znak"/>
        </w:rPr>
        <w:t xml:space="preserve"> – kwota podlegająca zwrotowi;</w:t>
      </w:r>
    </w:p>
    <w:p w14:paraId="7500045C" w14:textId="630AA513" w:rsidR="00B63831" w:rsidRPr="00B334CB" w:rsidRDefault="00A33981" w:rsidP="00BE2F10">
      <w:pPr>
        <w:tabs>
          <w:tab w:val="left" w:pos="851"/>
        </w:tabs>
        <w:spacing w:after="40" w:line="276" w:lineRule="auto"/>
        <w:ind w:left="851"/>
        <w:jc w:val="both"/>
        <w:rPr>
          <w:rStyle w:val="Nagwek1Znak"/>
        </w:rPr>
      </w:pPr>
      <w:r w:rsidRPr="00A33981">
        <w:rPr>
          <w:rStyle w:val="Nagwek1Znak"/>
          <w:b/>
        </w:rPr>
        <w:t>DOF</w:t>
      </w:r>
      <w:r w:rsidR="00B63831" w:rsidRPr="00B334CB">
        <w:rPr>
          <w:rStyle w:val="Nagwek1Znak"/>
        </w:rPr>
        <w:t xml:space="preserve"> – </w:t>
      </w:r>
      <w:r>
        <w:rPr>
          <w:rStyle w:val="Nagwek1Znak"/>
        </w:rPr>
        <w:t>kwota dofinasowania niestanowiącego pomocy publicznej, udzielonego w ramach Projektu na Infrastrukturę</w:t>
      </w:r>
      <w:r w:rsidR="00B63831" w:rsidRPr="00B334CB">
        <w:rPr>
          <w:rStyle w:val="Nagwek1Znak"/>
        </w:rPr>
        <w:t xml:space="preserve">; </w:t>
      </w:r>
    </w:p>
    <w:p w14:paraId="1CB42127" w14:textId="5A6A3045" w:rsidR="00B63831" w:rsidRPr="00B334CB" w:rsidRDefault="00B63831" w:rsidP="00BE2F10">
      <w:pPr>
        <w:tabs>
          <w:tab w:val="left" w:pos="851"/>
        </w:tabs>
        <w:spacing w:after="40" w:line="276" w:lineRule="auto"/>
        <w:ind w:left="851"/>
        <w:jc w:val="both"/>
        <w:rPr>
          <w:rStyle w:val="Nagwek1Znak"/>
        </w:rPr>
      </w:pPr>
      <w:r w:rsidRPr="00B334CB">
        <w:rPr>
          <w:rStyle w:val="Nagwek1Znak"/>
          <w:b/>
        </w:rPr>
        <w:t>OA</w:t>
      </w:r>
      <w:r w:rsidRPr="00B334CB">
        <w:rPr>
          <w:rStyle w:val="Nagwek1Znak"/>
        </w:rPr>
        <w:t xml:space="preserve"> – </w:t>
      </w:r>
      <w:r w:rsidRPr="00A33981">
        <w:rPr>
          <w:rStyle w:val="Nagwek1Znak"/>
        </w:rPr>
        <w:t>okres amortyzacji</w:t>
      </w:r>
      <w:r w:rsidR="00647028" w:rsidRPr="00A33981">
        <w:rPr>
          <w:rStyle w:val="Nagwek1Znak"/>
        </w:rPr>
        <w:t xml:space="preserve"> tego składnika </w:t>
      </w:r>
      <w:r w:rsidR="00A33981" w:rsidRPr="00A33981">
        <w:rPr>
          <w:rStyle w:val="Nagwek1Znak"/>
        </w:rPr>
        <w:t>I</w:t>
      </w:r>
      <w:r w:rsidR="00647028" w:rsidRPr="00A33981">
        <w:rPr>
          <w:rStyle w:val="Nagwek1Znak"/>
        </w:rPr>
        <w:t>nfrastruktury, który amortyzuje się najdłużej</w:t>
      </w:r>
      <w:r w:rsidR="00A33981" w:rsidRPr="00A33981">
        <w:rPr>
          <w:rStyle w:val="Nagwek1Znak"/>
        </w:rPr>
        <w:t xml:space="preserve">, określony w </w:t>
      </w:r>
      <w:r w:rsidR="000F20DC">
        <w:rPr>
          <w:rStyle w:val="Nagwek1Znak"/>
        </w:rPr>
        <w:t>ust.</w:t>
      </w:r>
      <w:r w:rsidR="00A33981" w:rsidRPr="00A33981">
        <w:rPr>
          <w:rStyle w:val="Nagwek1Znak"/>
        </w:rPr>
        <w:t xml:space="preserve"> 3 niniejszego załącznika</w:t>
      </w:r>
      <w:r w:rsidRPr="00A33981">
        <w:rPr>
          <w:rStyle w:val="Nagwek1Znak"/>
        </w:rPr>
        <w:t>;</w:t>
      </w:r>
    </w:p>
    <w:p w14:paraId="44D29E4F" w14:textId="0840E9AC" w:rsidR="00B63831" w:rsidRPr="00B334CB" w:rsidRDefault="00B63831" w:rsidP="00BE2F10">
      <w:pPr>
        <w:tabs>
          <w:tab w:val="left" w:pos="851"/>
        </w:tabs>
        <w:spacing w:after="40" w:line="276" w:lineRule="auto"/>
        <w:ind w:left="851"/>
        <w:jc w:val="both"/>
        <w:rPr>
          <w:rStyle w:val="Nagwek1Znak"/>
        </w:rPr>
      </w:pPr>
      <w:r w:rsidRPr="00B334CB">
        <w:rPr>
          <w:rStyle w:val="Nagwek1Znak"/>
          <w:b/>
        </w:rPr>
        <w:t>DG</w:t>
      </w:r>
      <w:r w:rsidRPr="00B334CB">
        <w:rPr>
          <w:rStyle w:val="Nagwek1Znak"/>
        </w:rPr>
        <w:t xml:space="preserve"> – </w:t>
      </w:r>
      <w:r w:rsidR="000F20DC">
        <w:rPr>
          <w:rStyle w:val="Nagwek1Znak"/>
        </w:rPr>
        <w:t>wyrażony w procentach</w:t>
      </w:r>
      <w:r w:rsidRPr="00B334CB">
        <w:rPr>
          <w:rStyle w:val="Nagwek1Znak"/>
        </w:rPr>
        <w:t xml:space="preserve"> udział działalności gospodarczej w wykorzystaniu rocznych zasobów</w:t>
      </w:r>
      <w:r w:rsidRPr="00A33981">
        <w:rPr>
          <w:rStyle w:val="Nagwek1Znak"/>
        </w:rPr>
        <w:t xml:space="preserve"> </w:t>
      </w:r>
      <w:r w:rsidR="00A33981" w:rsidRPr="00A33981">
        <w:rPr>
          <w:rStyle w:val="Nagwek1Znak"/>
        </w:rPr>
        <w:t>I</w:t>
      </w:r>
      <w:r w:rsidR="00647028" w:rsidRPr="00A33981">
        <w:rPr>
          <w:rStyle w:val="Nagwek1Znak"/>
        </w:rPr>
        <w:t>nfrastruktury</w:t>
      </w:r>
      <w:r w:rsidR="00647028" w:rsidRPr="00E55415">
        <w:rPr>
          <w:rStyle w:val="Nagwek1Znak"/>
        </w:rPr>
        <w:t xml:space="preserve"> </w:t>
      </w:r>
      <w:r w:rsidRPr="00B334CB">
        <w:rPr>
          <w:rStyle w:val="Nagwek1Znak"/>
        </w:rPr>
        <w:t>w danym roku sprawozdawczym</w:t>
      </w:r>
      <w:r w:rsidR="000F20DC">
        <w:rPr>
          <w:rStyle w:val="Nagwek1Znak"/>
        </w:rPr>
        <w:t xml:space="preserve">, zgodnie z ust. 8 pkt </w:t>
      </w:r>
      <w:r w:rsidR="00E019E8">
        <w:rPr>
          <w:rStyle w:val="Nagwek1Znak"/>
        </w:rPr>
        <w:t>3</w:t>
      </w:r>
      <w:r w:rsidR="00A33981">
        <w:rPr>
          <w:rStyle w:val="Nagwek1Znak"/>
        </w:rPr>
        <w:t>.</w:t>
      </w:r>
    </w:p>
    <w:p w14:paraId="05381516" w14:textId="77777777" w:rsidR="0089778B" w:rsidRPr="00B334CB" w:rsidRDefault="0089778B" w:rsidP="0089778B">
      <w:pPr>
        <w:tabs>
          <w:tab w:val="left" w:pos="851"/>
        </w:tabs>
        <w:spacing w:after="40" w:line="276" w:lineRule="auto"/>
        <w:ind w:left="851"/>
        <w:jc w:val="both"/>
        <w:rPr>
          <w:rStyle w:val="Nagwek1Znak"/>
          <w:u w:val="single"/>
        </w:rPr>
      </w:pPr>
    </w:p>
    <w:p w14:paraId="38221DCF" w14:textId="31315349" w:rsidR="00B63831" w:rsidRPr="00B334CB" w:rsidRDefault="00B63831" w:rsidP="003676D6">
      <w:pPr>
        <w:pStyle w:val="Akapitzlist"/>
        <w:numPr>
          <w:ilvl w:val="0"/>
          <w:numId w:val="60"/>
        </w:numPr>
        <w:spacing w:after="40" w:line="276" w:lineRule="auto"/>
        <w:contextualSpacing w:val="0"/>
        <w:jc w:val="both"/>
        <w:rPr>
          <w:rStyle w:val="Nagwek1Znak"/>
        </w:rPr>
      </w:pPr>
      <w:r w:rsidRPr="00B334CB">
        <w:rPr>
          <w:rStyle w:val="Nagwek1Znak"/>
        </w:rPr>
        <w:t>Wyliczenia kwoty podlegającej zwrotowi dokonuje Beneficjent i przedsta</w:t>
      </w:r>
      <w:r w:rsidR="008E5450" w:rsidRPr="00B334CB">
        <w:rPr>
          <w:rStyle w:val="Nagwek1Znak"/>
        </w:rPr>
        <w:t>wia je Instytucji Zarządzającej</w:t>
      </w:r>
      <w:r w:rsidRPr="00B334CB">
        <w:rPr>
          <w:rStyle w:val="Nagwek1Znak"/>
        </w:rPr>
        <w:t xml:space="preserve"> wraz ze sprawozdaniem, o którym mowa w ust. </w:t>
      </w:r>
      <w:r w:rsidR="00E32DD3">
        <w:rPr>
          <w:rStyle w:val="Nagwek1Znak"/>
        </w:rPr>
        <w:t>7</w:t>
      </w:r>
      <w:r w:rsidRPr="00B334CB">
        <w:rPr>
          <w:rStyle w:val="Nagwek1Znak"/>
        </w:rPr>
        <w:t>. Instytucja Zarządzająca dokonuje weryfikacji wyliczeń przedstawionych przez Beneficjenta. Instytucja Zarządzająca może zażądać od Beneficjenta dodatkowych informacji lub wyjaśnień lub nakazać Beneficjentowi skorygowanie wyliczenia kwoty podlegającej zwrotowi według przekazanych wskazówek.</w:t>
      </w:r>
    </w:p>
    <w:p w14:paraId="0FDE57DB" w14:textId="77777777" w:rsidR="00B63831" w:rsidRPr="00B334CB" w:rsidRDefault="00B63831" w:rsidP="003676D6">
      <w:pPr>
        <w:pStyle w:val="Akapitzlist"/>
        <w:numPr>
          <w:ilvl w:val="0"/>
          <w:numId w:val="60"/>
        </w:numPr>
        <w:spacing w:after="40" w:line="276" w:lineRule="auto"/>
        <w:contextualSpacing w:val="0"/>
        <w:jc w:val="both"/>
        <w:rPr>
          <w:rStyle w:val="Nagwek1Znak"/>
        </w:rPr>
      </w:pPr>
      <w:r w:rsidRPr="00B334CB">
        <w:rPr>
          <w:rStyle w:val="Nagwek1Znak"/>
        </w:rPr>
        <w:t xml:space="preserve">Przy obliczaniu kwoty podlegającej zwrotowi bierze się pod uwagę ewentualne korekty kosztów lub pomniejszenia </w:t>
      </w:r>
      <w:r w:rsidR="00971EF6" w:rsidRPr="00B334CB">
        <w:rPr>
          <w:rStyle w:val="Nagwek1Znak"/>
        </w:rPr>
        <w:t>d</w:t>
      </w:r>
      <w:r w:rsidRPr="00B334CB">
        <w:rPr>
          <w:rStyle w:val="Nagwek1Znak"/>
        </w:rPr>
        <w:t>ofinansowania, dokonane na moment zakończenia danego roku sprawozdawczego.</w:t>
      </w:r>
    </w:p>
    <w:p w14:paraId="5FDD353D" w14:textId="04AB710D" w:rsidR="00B63831" w:rsidRPr="00B334CB" w:rsidRDefault="00B63831" w:rsidP="003676D6">
      <w:pPr>
        <w:pStyle w:val="Akapitzlist"/>
        <w:numPr>
          <w:ilvl w:val="0"/>
          <w:numId w:val="60"/>
        </w:numPr>
        <w:spacing w:after="40" w:line="276" w:lineRule="auto"/>
        <w:contextualSpacing w:val="0"/>
        <w:jc w:val="both"/>
        <w:rPr>
          <w:rStyle w:val="Nagwek1Znak"/>
        </w:rPr>
      </w:pPr>
      <w:r w:rsidRPr="00B334CB">
        <w:rPr>
          <w:rStyle w:val="Nagwek1Znak"/>
        </w:rPr>
        <w:t xml:space="preserve">Beneficjent zwraca kwotę podlegającą zwrotowi do Instytucji Zarządzającej w terminie 60 dni od zakończenia danego roku sprawozdawczego. Kwota </w:t>
      </w:r>
      <w:r w:rsidR="00E32DD3">
        <w:rPr>
          <w:rStyle w:val="Nagwek1Znak"/>
        </w:rPr>
        <w:t>ta</w:t>
      </w:r>
      <w:r w:rsidRPr="00B334CB">
        <w:rPr>
          <w:rStyle w:val="Nagwek1Znak"/>
        </w:rPr>
        <w:t xml:space="preserve"> podlega powiększeniu o odsetki</w:t>
      </w:r>
      <w:r w:rsidR="00E32DD3">
        <w:rPr>
          <w:rStyle w:val="Nagwek1Znak"/>
        </w:rPr>
        <w:t>, liczon</w:t>
      </w:r>
      <w:r w:rsidR="009F0B1E">
        <w:rPr>
          <w:rStyle w:val="Nagwek1Znak"/>
        </w:rPr>
        <w:t>e</w:t>
      </w:r>
      <w:r w:rsidR="00E32DD3">
        <w:rPr>
          <w:rStyle w:val="Nagwek1Znak"/>
        </w:rPr>
        <w:t xml:space="preserve"> od </w:t>
      </w:r>
      <w:r w:rsidR="00E32DD3" w:rsidRPr="00C83981">
        <w:rPr>
          <w:rStyle w:val="Nagwek1Znak"/>
          <w:rFonts w:asciiTheme="minorHAnsi" w:hAnsiTheme="minorHAnsi" w:cstheme="minorHAnsi"/>
        </w:rPr>
        <w:t xml:space="preserve">pierwszego dnia </w:t>
      </w:r>
      <w:r w:rsidR="00A33981" w:rsidRPr="00C83981">
        <w:rPr>
          <w:rStyle w:val="Nagwek1Znak"/>
          <w:rFonts w:asciiTheme="minorHAnsi" w:hAnsiTheme="minorHAnsi" w:cstheme="minorHAnsi"/>
        </w:rPr>
        <w:t>roku sprawozdawczego, którego dotyczy dane sprawozdanie</w:t>
      </w:r>
      <w:r w:rsidRPr="00C83981">
        <w:rPr>
          <w:rStyle w:val="Nagwek1Znak"/>
          <w:rFonts w:asciiTheme="minorHAnsi" w:hAnsiTheme="minorHAnsi" w:cstheme="minorHAnsi"/>
        </w:rPr>
        <w:t>.</w:t>
      </w:r>
      <w:r w:rsidR="009F0B1E" w:rsidRPr="00C83981">
        <w:rPr>
          <w:rStyle w:val="Nagwek1Znak"/>
          <w:rFonts w:asciiTheme="minorHAnsi" w:hAnsiTheme="minorHAnsi" w:cstheme="minorHAnsi"/>
        </w:rPr>
        <w:t xml:space="preserve"> Właściwą stopą odsetek, o których mowa w zdaniu poprzedzającym, jest </w:t>
      </w:r>
      <w:r w:rsidR="009F0B1E" w:rsidRPr="00C83981">
        <w:rPr>
          <w:rFonts w:asciiTheme="minorHAnsi" w:hAnsiTheme="minorHAnsi" w:cstheme="minorHAnsi"/>
          <w:sz w:val="22"/>
          <w:szCs w:val="22"/>
        </w:rPr>
        <w:t xml:space="preserve">stopa procentowa zwrotu pomocy państwa, o której mowa w </w:t>
      </w:r>
      <w:r w:rsidR="00C83981" w:rsidRPr="00C83981">
        <w:rPr>
          <w:rFonts w:asciiTheme="minorHAnsi" w:hAnsiTheme="minorHAnsi" w:cstheme="minorHAnsi"/>
          <w:sz w:val="22"/>
          <w:szCs w:val="22"/>
        </w:rPr>
        <w:t xml:space="preserve">art. 9-11 </w:t>
      </w:r>
      <w:r w:rsidR="00C83981">
        <w:rPr>
          <w:rFonts w:asciiTheme="minorHAnsi" w:hAnsiTheme="minorHAnsi" w:cstheme="minorHAnsi"/>
          <w:sz w:val="22"/>
          <w:szCs w:val="22"/>
        </w:rPr>
        <w:t>r</w:t>
      </w:r>
      <w:r w:rsidR="00C83981" w:rsidRPr="00934D9C">
        <w:rPr>
          <w:rFonts w:ascii="Arial Narrow" w:hAnsi="Arial Narrow"/>
        </w:rPr>
        <w:t>ozporządzeni</w:t>
      </w:r>
      <w:r w:rsidR="00C83981">
        <w:rPr>
          <w:rFonts w:ascii="Arial Narrow" w:hAnsi="Arial Narrow"/>
        </w:rPr>
        <w:t>a</w:t>
      </w:r>
      <w:r w:rsidR="00C83981" w:rsidRPr="00934D9C">
        <w:rPr>
          <w:rFonts w:ascii="Arial Narrow" w:hAnsi="Arial Narrow"/>
        </w:rPr>
        <w:t xml:space="preserve"> Komisji (WE) nr 794/2004 z dnia 21 kwietnia 2004 r. w sprawie wykonania rozporządzenia Rady (UE) 2015/1589 ustanawiającego szczegółowe zasady stosowania art. 108 Traktatu o funkcjonowaniu Unii Europejskiej</w:t>
      </w:r>
      <w:r w:rsidR="00C83981">
        <w:rPr>
          <w:rStyle w:val="Odwoanieprzypisudolnego"/>
          <w:rFonts w:ascii="Arial Narrow" w:hAnsi="Arial Narrow"/>
        </w:rPr>
        <w:footnoteReference w:id="3"/>
      </w:r>
      <w:r w:rsidR="009F0B1E" w:rsidRPr="00C83981">
        <w:rPr>
          <w:rFonts w:asciiTheme="minorHAnsi" w:hAnsiTheme="minorHAnsi" w:cstheme="minorHAnsi"/>
          <w:sz w:val="22"/>
          <w:szCs w:val="22"/>
        </w:rPr>
        <w:t xml:space="preserve">, obowiązująca w </w:t>
      </w:r>
      <w:r w:rsidR="009F0B1E" w:rsidRPr="00C83981">
        <w:rPr>
          <w:rStyle w:val="Nagwek1Znak"/>
          <w:rFonts w:asciiTheme="minorHAnsi" w:hAnsiTheme="minorHAnsi" w:cstheme="minorHAnsi"/>
        </w:rPr>
        <w:t>pierwszym dniu roku sprawozdawczego</w:t>
      </w:r>
      <w:r w:rsidR="009F0B1E">
        <w:rPr>
          <w:rStyle w:val="Nagwek1Znak"/>
        </w:rPr>
        <w:t>, którego dotyczy dane sprawozdanie.</w:t>
      </w:r>
    </w:p>
    <w:p w14:paraId="44504658" w14:textId="460E147A" w:rsidR="00C572E3" w:rsidRPr="00B334CB" w:rsidRDefault="00B63831" w:rsidP="003676D6">
      <w:pPr>
        <w:pStyle w:val="Akapitzlist"/>
        <w:numPr>
          <w:ilvl w:val="0"/>
          <w:numId w:val="60"/>
        </w:numPr>
        <w:spacing w:after="40" w:line="276" w:lineRule="auto"/>
        <w:contextualSpacing w:val="0"/>
        <w:jc w:val="both"/>
      </w:pPr>
      <w:r w:rsidRPr="00B334CB">
        <w:rPr>
          <w:rStyle w:val="Nagwek1Znak"/>
        </w:rPr>
        <w:lastRenderedPageBreak/>
        <w:t>Niedokonanie zwrotu prawidłowo wyliczonej kwoty w terminie, o którym mowa w ust. 1</w:t>
      </w:r>
      <w:r w:rsidR="000F20DC">
        <w:rPr>
          <w:rStyle w:val="Nagwek1Znak"/>
        </w:rPr>
        <w:t>2</w:t>
      </w:r>
      <w:r w:rsidRPr="00B334CB">
        <w:rPr>
          <w:rStyle w:val="Nagwek1Znak"/>
        </w:rPr>
        <w:t xml:space="preserve">, stanowi wykorzystanie </w:t>
      </w:r>
      <w:r w:rsidR="00096571" w:rsidRPr="00B334CB">
        <w:rPr>
          <w:rStyle w:val="Nagwek1Znak"/>
        </w:rPr>
        <w:t>d</w:t>
      </w:r>
      <w:r w:rsidRPr="00B334CB">
        <w:rPr>
          <w:rStyle w:val="Nagwek1Znak"/>
        </w:rPr>
        <w:t xml:space="preserve">ofinansowania </w:t>
      </w:r>
      <w:r w:rsidRPr="00B334CB">
        <w:rPr>
          <w:rFonts w:ascii="Calibri" w:hAnsi="Calibri"/>
          <w:sz w:val="22"/>
          <w:szCs w:val="22"/>
        </w:rPr>
        <w:t>z naruszeniem procedur, o których mowa w art. 184 UFP (art. 207 ust. 1 pkt 2 UFP).</w:t>
      </w:r>
    </w:p>
    <w:p w14:paraId="4057922A" w14:textId="77777777" w:rsidR="00670066" w:rsidRPr="00B334CB" w:rsidRDefault="00670066" w:rsidP="00650580">
      <w:pPr>
        <w:spacing w:after="40" w:line="276" w:lineRule="auto"/>
        <w:jc w:val="both"/>
      </w:pPr>
    </w:p>
    <w:sectPr w:rsidR="00670066" w:rsidRPr="00B334CB" w:rsidSect="005F548D">
      <w:headerReference w:type="default" r:id="rId9"/>
      <w:headerReference w:type="first" r:id="rId10"/>
      <w:footerReference w:type="first" r:id="rId11"/>
      <w:pgSz w:w="11906" w:h="16838"/>
      <w:pgMar w:top="1418" w:right="1080" w:bottom="993" w:left="1080" w:header="56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2EEADF" w14:textId="77777777" w:rsidR="009B3B36" w:rsidRDefault="009B3B36">
      <w:r>
        <w:separator/>
      </w:r>
    </w:p>
  </w:endnote>
  <w:endnote w:type="continuationSeparator" w:id="0">
    <w:p w14:paraId="622A652D" w14:textId="77777777" w:rsidR="009B3B36" w:rsidRDefault="009B3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C0A0D" w14:textId="5EAFE0AD" w:rsidR="00C50C49" w:rsidRDefault="001005E3" w:rsidP="001005E3">
    <w:pPr>
      <w:pStyle w:val="Stopka"/>
      <w:jc w:val="center"/>
    </w:pPr>
    <w:r w:rsidRPr="00300D8B">
      <w:rPr>
        <w:rFonts w:ascii="Open Sans Medium" w:eastAsia="Calibri" w:hAnsi="Open Sans Medium" w:cs="Open Sans Medium"/>
        <w:sz w:val="22"/>
        <w:szCs w:val="22"/>
        <w:lang w:eastAsia="en-US"/>
      </w:rP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8C8EC" w14:textId="77777777" w:rsidR="009B3B36" w:rsidRDefault="009B3B36">
      <w:r>
        <w:separator/>
      </w:r>
    </w:p>
  </w:footnote>
  <w:footnote w:type="continuationSeparator" w:id="0">
    <w:p w14:paraId="17DF5D84" w14:textId="77777777" w:rsidR="009B3B36" w:rsidRDefault="009B3B36">
      <w:r>
        <w:continuationSeparator/>
      </w:r>
    </w:p>
  </w:footnote>
  <w:footnote w:id="1">
    <w:p w14:paraId="0FA09703" w14:textId="77777777" w:rsidR="003E099F" w:rsidRPr="00C83981" w:rsidRDefault="003E099F" w:rsidP="003E099F">
      <w:pPr>
        <w:pStyle w:val="Tekstprzypisudolnego"/>
        <w:rPr>
          <w:sz w:val="20"/>
        </w:rPr>
      </w:pPr>
      <w:r w:rsidRPr="00C83981">
        <w:rPr>
          <w:rStyle w:val="Odwoanieprzypisudolnego"/>
          <w:sz w:val="20"/>
        </w:rPr>
        <w:footnoteRef/>
      </w:r>
      <w:r w:rsidRPr="00C83981">
        <w:rPr>
          <w:sz w:val="20"/>
        </w:rPr>
        <w:t xml:space="preserve"> Dz. Urz. UE C 262 z 19.07.2016 r., s. 1.</w:t>
      </w:r>
    </w:p>
  </w:footnote>
  <w:footnote w:id="2">
    <w:p w14:paraId="1A680B17" w14:textId="34647AC6" w:rsidR="009B3B36" w:rsidRDefault="009B3B36" w:rsidP="00C44A70">
      <w:pPr>
        <w:pStyle w:val="Tekstprzypisudolnego"/>
        <w:jc w:val="both"/>
      </w:pPr>
      <w:r w:rsidRPr="00C83981">
        <w:rPr>
          <w:rStyle w:val="Odwoanieprzypisudolnego"/>
          <w:sz w:val="20"/>
        </w:rPr>
        <w:footnoteRef/>
      </w:r>
      <w:r w:rsidRPr="00C83981">
        <w:rPr>
          <w:sz w:val="20"/>
        </w:rPr>
        <w:t xml:space="preserve"> W </w:t>
      </w:r>
      <w:r w:rsidR="00E32DD3" w:rsidRPr="00C83981">
        <w:rPr>
          <w:sz w:val="20"/>
        </w:rPr>
        <w:t>U</w:t>
      </w:r>
      <w:r w:rsidRPr="00C83981">
        <w:rPr>
          <w:sz w:val="20"/>
        </w:rPr>
        <w:t xml:space="preserve">mowie należy wskazać okres stosowania mechanizmu monitorowania i wycofania. Wyboru dokonuje Beneficjent, chyba że Instytucja Zarządzająca, po konsultacji z zainteresowanymi podmiotami, ustali w regulaminie danego konkursu jeden okres stosowania mechanizmu monitorowania i wycofania. </w:t>
      </w:r>
    </w:p>
  </w:footnote>
  <w:footnote w:id="3">
    <w:p w14:paraId="401CB020" w14:textId="476631E5" w:rsidR="00C83981" w:rsidRPr="00C83981" w:rsidRDefault="00C83981">
      <w:pPr>
        <w:pStyle w:val="Tekstprzypisudolnego"/>
        <w:rPr>
          <w:rFonts w:asciiTheme="minorHAnsi" w:hAnsiTheme="minorHAnsi" w:cstheme="minorHAnsi"/>
          <w:sz w:val="20"/>
        </w:rPr>
      </w:pPr>
      <w:r w:rsidRPr="00C83981">
        <w:rPr>
          <w:rStyle w:val="Odwoanieprzypisudolnego"/>
          <w:rFonts w:asciiTheme="minorHAnsi" w:hAnsiTheme="minorHAnsi" w:cstheme="minorHAnsi"/>
          <w:sz w:val="20"/>
        </w:rPr>
        <w:footnoteRef/>
      </w:r>
      <w:r w:rsidRPr="00C83981">
        <w:rPr>
          <w:rFonts w:asciiTheme="minorHAnsi" w:hAnsiTheme="minorHAnsi" w:cstheme="minorHAnsi"/>
          <w:sz w:val="20"/>
        </w:rPr>
        <w:t xml:space="preserve"> Dz. Urz. UE L 140 z 30.04.2004, s. 1, z </w:t>
      </w:r>
      <w:proofErr w:type="spellStart"/>
      <w:r w:rsidRPr="00C83981">
        <w:rPr>
          <w:rFonts w:asciiTheme="minorHAnsi" w:hAnsiTheme="minorHAnsi" w:cstheme="minorHAnsi"/>
          <w:sz w:val="20"/>
        </w:rPr>
        <w:t>późn</w:t>
      </w:r>
      <w:proofErr w:type="spellEnd"/>
      <w:r w:rsidRPr="00C83981">
        <w:rPr>
          <w:rFonts w:asciiTheme="minorHAnsi" w:hAnsiTheme="minorHAnsi" w:cstheme="minorHAnsi"/>
          <w:sz w:val="20"/>
        </w:rPr>
        <w:t>. zm.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397C0" w14:textId="77777777" w:rsidR="009B3B36" w:rsidRPr="00C572E3" w:rsidRDefault="009B3B36" w:rsidP="00911F3A">
    <w:pPr>
      <w:pStyle w:val="Nagwek"/>
      <w:jc w:val="right"/>
      <w:rPr>
        <w:rFonts w:asciiTheme="minorHAnsi" w:hAnsiTheme="minorHAnsi"/>
        <w:b/>
        <w:i/>
        <w:sz w:val="20"/>
      </w:rPr>
    </w:pPr>
  </w:p>
  <w:p w14:paraId="49115E6A" w14:textId="77777777" w:rsidR="009B3B36" w:rsidRPr="00911F3A" w:rsidRDefault="009B3B36" w:rsidP="00911F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82953" w14:textId="02100A20" w:rsidR="00C50C49" w:rsidRDefault="00C50C4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610F6B" wp14:editId="38186717">
          <wp:simplePos x="0" y="0"/>
          <wp:positionH relativeFrom="page">
            <wp:align>right</wp:align>
          </wp:positionH>
          <wp:positionV relativeFrom="page">
            <wp:posOffset>97652</wp:posOffset>
          </wp:positionV>
          <wp:extent cx="7347585" cy="68770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7585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A1478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1B249ED"/>
    <w:multiLevelType w:val="multilevel"/>
    <w:tmpl w:val="9A74DB6C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C26DF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9BF0E86"/>
    <w:multiLevelType w:val="multilevel"/>
    <w:tmpl w:val="6E26011A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Theme="minorHAnsi" w:hAnsiTheme="minorHAns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B0448B9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F074215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F4B6E7E"/>
    <w:multiLevelType w:val="multilevel"/>
    <w:tmpl w:val="4DD457F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3560EF1"/>
    <w:multiLevelType w:val="hybridMultilevel"/>
    <w:tmpl w:val="EDB04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20265D"/>
    <w:multiLevelType w:val="multilevel"/>
    <w:tmpl w:val="BB0C3F9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Theme="minorHAnsi" w:hAnsiTheme="minorHAns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60D14AB"/>
    <w:multiLevelType w:val="multilevel"/>
    <w:tmpl w:val="2756858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812FFC"/>
    <w:multiLevelType w:val="hybridMultilevel"/>
    <w:tmpl w:val="E1286AC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907F66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E5605D1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FA24748"/>
    <w:multiLevelType w:val="hybridMultilevel"/>
    <w:tmpl w:val="09904764"/>
    <w:lvl w:ilvl="0" w:tplc="8AF67FAA">
      <w:start w:val="1"/>
      <w:numFmt w:val="lowerLetter"/>
      <w:lvlText w:val="%1)"/>
      <w:lvlJc w:val="left"/>
      <w:pPr>
        <w:ind w:left="720" w:hanging="360"/>
      </w:pPr>
      <w:rPr>
        <w:rFonts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4D6F6E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0B04ACE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1336749"/>
    <w:multiLevelType w:val="hybridMultilevel"/>
    <w:tmpl w:val="2DC062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8D629B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AC32EC"/>
    <w:multiLevelType w:val="hybridMultilevel"/>
    <w:tmpl w:val="E070C2C2"/>
    <w:lvl w:ilvl="0" w:tplc="744883AC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23F36000"/>
    <w:multiLevelType w:val="hybridMultilevel"/>
    <w:tmpl w:val="4A307922"/>
    <w:lvl w:ilvl="0" w:tplc="0415000F">
      <w:start w:val="1"/>
      <w:numFmt w:val="decimal"/>
      <w:lvlText w:val="%1."/>
      <w:lvlJc w:val="left"/>
      <w:pPr>
        <w:ind w:left="731" w:hanging="360"/>
      </w:p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22" w15:restartNumberingAfterBreak="0">
    <w:nsid w:val="27425A01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27EE127A"/>
    <w:multiLevelType w:val="hybridMultilevel"/>
    <w:tmpl w:val="E1286AC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80771F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28CF3906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2B0B02BB"/>
    <w:multiLevelType w:val="hybridMultilevel"/>
    <w:tmpl w:val="F02C5976"/>
    <w:lvl w:ilvl="0" w:tplc="6F72E04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2615EB"/>
    <w:multiLevelType w:val="hybridMultilevel"/>
    <w:tmpl w:val="5B0E9EB2"/>
    <w:lvl w:ilvl="0" w:tplc="0D9EC74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B21624"/>
    <w:multiLevelType w:val="hybridMultilevel"/>
    <w:tmpl w:val="FCA0216A"/>
    <w:lvl w:ilvl="0" w:tplc="C43CD8A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DA26E5"/>
    <w:multiLevelType w:val="hybridMultilevel"/>
    <w:tmpl w:val="7CC079E2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2F22F4E">
      <w:numFmt w:val="bullet"/>
      <w:lvlText w:val="•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28149A6"/>
    <w:multiLevelType w:val="multilevel"/>
    <w:tmpl w:val="73C84B06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33614ACC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33C13553"/>
    <w:multiLevelType w:val="multilevel"/>
    <w:tmpl w:val="6C347344"/>
    <w:lvl w:ilvl="0">
      <w:start w:val="6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386A0579"/>
    <w:multiLevelType w:val="hybridMultilevel"/>
    <w:tmpl w:val="3FA0303E"/>
    <w:lvl w:ilvl="0" w:tplc="0415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8EE3844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3AA87031"/>
    <w:multiLevelType w:val="hybridMultilevel"/>
    <w:tmpl w:val="BBE60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BDD3C20"/>
    <w:multiLevelType w:val="hybridMultilevel"/>
    <w:tmpl w:val="9B6854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3CED1893"/>
    <w:multiLevelType w:val="hybridMultilevel"/>
    <w:tmpl w:val="CD06D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5F06B3"/>
    <w:multiLevelType w:val="multilevel"/>
    <w:tmpl w:val="5E4056FC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438762DD"/>
    <w:multiLevelType w:val="hybridMultilevel"/>
    <w:tmpl w:val="EED620B8"/>
    <w:lvl w:ilvl="0" w:tplc="04150011">
      <w:start w:val="1"/>
      <w:numFmt w:val="decimal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40" w15:restartNumberingAfterBreak="0">
    <w:nsid w:val="439313B9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80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45645231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4D684BA6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4EF6040A"/>
    <w:multiLevelType w:val="multilevel"/>
    <w:tmpl w:val="F576406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  <w:i w:val="0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4F8A1FE5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514B77F4"/>
    <w:multiLevelType w:val="hybridMultilevel"/>
    <w:tmpl w:val="5B100862"/>
    <w:lvl w:ilvl="0" w:tplc="66CCF8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BE1681"/>
    <w:multiLevelType w:val="multilevel"/>
    <w:tmpl w:val="7694A26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57855966"/>
    <w:multiLevelType w:val="hybridMultilevel"/>
    <w:tmpl w:val="DC6A48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8440047"/>
    <w:multiLevelType w:val="hybridMultilevel"/>
    <w:tmpl w:val="E6E0C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2A4C87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5B120F4B"/>
    <w:multiLevelType w:val="hybridMultilevel"/>
    <w:tmpl w:val="4484F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0E61272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62DB3604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4" w15:restartNumberingAfterBreak="0">
    <w:nsid w:val="64056768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5" w15:restartNumberingAfterBreak="0">
    <w:nsid w:val="66B74A7E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6" w15:restartNumberingAfterBreak="0">
    <w:nsid w:val="6ABE3A66"/>
    <w:multiLevelType w:val="multilevel"/>
    <w:tmpl w:val="A2CE2812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6AD2422D"/>
    <w:multiLevelType w:val="hybridMultilevel"/>
    <w:tmpl w:val="D8C6BB0A"/>
    <w:lvl w:ilvl="0" w:tplc="7A688C6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B20865"/>
    <w:multiLevelType w:val="multilevel"/>
    <w:tmpl w:val="363866DE"/>
    <w:lvl w:ilvl="0">
      <w:start w:val="3"/>
      <w:numFmt w:val="decimal"/>
      <w:lvlText w:val="%1."/>
      <w:lvlJc w:val="left"/>
      <w:pPr>
        <w:ind w:left="397" w:hanging="397"/>
      </w:pPr>
      <w:rPr>
        <w:rFonts w:asciiTheme="minorHAnsi" w:hAnsiTheme="minorHAnsi" w:hint="default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Theme="minorHAnsi" w:hAnsiTheme="minorHAnsi" w:hint="default"/>
        <w:sz w:val="22"/>
        <w:szCs w:val="22"/>
      </w:rPr>
    </w:lvl>
    <w:lvl w:ilvl="7">
      <w:start w:val="1"/>
      <w:numFmt w:val="decimal"/>
      <w:lvlText w:val="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711053BB"/>
    <w:multiLevelType w:val="hybridMultilevel"/>
    <w:tmpl w:val="F2568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4095E83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7763692F"/>
    <w:multiLevelType w:val="hybridMultilevel"/>
    <w:tmpl w:val="D77EBB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7B8748CB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3" w15:restartNumberingAfterBreak="0">
    <w:nsid w:val="7BAC5BEC"/>
    <w:multiLevelType w:val="multilevel"/>
    <w:tmpl w:val="12E40FB6"/>
    <w:lvl w:ilvl="0">
      <w:start w:val="1"/>
      <w:numFmt w:val="decimal"/>
      <w:lvlText w:val="%1."/>
      <w:lvlJc w:val="left"/>
      <w:pPr>
        <w:ind w:left="397" w:hanging="397"/>
      </w:pPr>
      <w:rPr>
        <w:rFonts w:asciiTheme="minorHAnsi" w:hAnsiTheme="minorHAnsi" w:hint="default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Theme="minorHAnsi" w:hAnsiTheme="minorHAns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7BF714D8"/>
    <w:multiLevelType w:val="multilevel"/>
    <w:tmpl w:val="2B9C71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5" w15:restartNumberingAfterBreak="0">
    <w:nsid w:val="7FA35C0A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3"/>
  </w:num>
  <w:num w:numId="2">
    <w:abstractNumId w:val="23"/>
  </w:num>
  <w:num w:numId="3">
    <w:abstractNumId w:val="3"/>
  </w:num>
  <w:num w:numId="4">
    <w:abstractNumId w:val="55"/>
  </w:num>
  <w:num w:numId="5">
    <w:abstractNumId w:val="11"/>
  </w:num>
  <w:num w:numId="6">
    <w:abstractNumId w:val="49"/>
  </w:num>
  <w:num w:numId="7">
    <w:abstractNumId w:val="15"/>
  </w:num>
  <w:num w:numId="8">
    <w:abstractNumId w:val="56"/>
  </w:num>
  <w:num w:numId="9">
    <w:abstractNumId w:val="6"/>
  </w:num>
  <w:num w:numId="10">
    <w:abstractNumId w:val="0"/>
  </w:num>
  <w:num w:numId="11">
    <w:abstractNumId w:val="4"/>
  </w:num>
  <w:num w:numId="12">
    <w:abstractNumId w:val="22"/>
  </w:num>
  <w:num w:numId="13">
    <w:abstractNumId w:val="16"/>
  </w:num>
  <w:num w:numId="14">
    <w:abstractNumId w:val="65"/>
  </w:num>
  <w:num w:numId="15">
    <w:abstractNumId w:val="25"/>
  </w:num>
  <w:num w:numId="16">
    <w:abstractNumId w:val="13"/>
  </w:num>
  <w:num w:numId="17">
    <w:abstractNumId w:val="5"/>
  </w:num>
  <w:num w:numId="18">
    <w:abstractNumId w:val="18"/>
  </w:num>
  <w:num w:numId="19">
    <w:abstractNumId w:val="44"/>
  </w:num>
  <w:num w:numId="20">
    <w:abstractNumId w:val="54"/>
  </w:num>
  <w:num w:numId="21">
    <w:abstractNumId w:val="60"/>
  </w:num>
  <w:num w:numId="22">
    <w:abstractNumId w:val="42"/>
  </w:num>
  <w:num w:numId="23">
    <w:abstractNumId w:val="52"/>
  </w:num>
  <w:num w:numId="24">
    <w:abstractNumId w:val="41"/>
  </w:num>
  <w:num w:numId="25">
    <w:abstractNumId w:val="40"/>
  </w:num>
  <w:num w:numId="26">
    <w:abstractNumId w:val="31"/>
  </w:num>
  <w:num w:numId="27">
    <w:abstractNumId w:val="24"/>
  </w:num>
  <w:num w:numId="28">
    <w:abstractNumId w:val="34"/>
  </w:num>
  <w:num w:numId="29">
    <w:abstractNumId w:val="51"/>
  </w:num>
  <w:num w:numId="30">
    <w:abstractNumId w:val="2"/>
  </w:num>
  <w:num w:numId="31">
    <w:abstractNumId w:val="29"/>
  </w:num>
  <w:num w:numId="32">
    <w:abstractNumId w:val="59"/>
  </w:num>
  <w:num w:numId="33">
    <w:abstractNumId w:val="33"/>
  </w:num>
  <w:num w:numId="34">
    <w:abstractNumId w:val="32"/>
  </w:num>
  <w:num w:numId="35">
    <w:abstractNumId w:val="12"/>
  </w:num>
  <w:num w:numId="36">
    <w:abstractNumId w:val="53"/>
  </w:num>
  <w:num w:numId="37">
    <w:abstractNumId w:val="27"/>
  </w:num>
  <w:num w:numId="38">
    <w:abstractNumId w:val="45"/>
  </w:num>
  <w:num w:numId="39">
    <w:abstractNumId w:val="26"/>
  </w:num>
  <w:num w:numId="40">
    <w:abstractNumId w:val="28"/>
  </w:num>
  <w:num w:numId="41">
    <w:abstractNumId w:val="38"/>
  </w:num>
  <w:num w:numId="42">
    <w:abstractNumId w:val="50"/>
  </w:num>
  <w:num w:numId="43">
    <w:abstractNumId w:val="57"/>
  </w:num>
  <w:num w:numId="44">
    <w:abstractNumId w:val="46"/>
  </w:num>
  <w:num w:numId="45">
    <w:abstractNumId w:val="10"/>
  </w:num>
  <w:num w:numId="46">
    <w:abstractNumId w:val="30"/>
  </w:num>
  <w:num w:numId="47">
    <w:abstractNumId w:val="1"/>
  </w:num>
  <w:num w:numId="48">
    <w:abstractNumId w:val="7"/>
  </w:num>
  <w:num w:numId="49">
    <w:abstractNumId w:val="20"/>
  </w:num>
  <w:num w:numId="50">
    <w:abstractNumId w:val="58"/>
  </w:num>
  <w:num w:numId="51">
    <w:abstractNumId w:val="19"/>
  </w:num>
  <w:num w:numId="52">
    <w:abstractNumId w:val="61"/>
  </w:num>
  <w:num w:numId="53">
    <w:abstractNumId w:val="36"/>
  </w:num>
  <w:num w:numId="54">
    <w:abstractNumId w:val="35"/>
  </w:num>
  <w:num w:numId="55">
    <w:abstractNumId w:val="64"/>
  </w:num>
  <w:num w:numId="56">
    <w:abstractNumId w:val="14"/>
  </w:num>
  <w:num w:numId="57">
    <w:abstractNumId w:val="17"/>
  </w:num>
  <w:num w:numId="58">
    <w:abstractNumId w:val="8"/>
  </w:num>
  <w:num w:numId="59">
    <w:abstractNumId w:val="48"/>
  </w:num>
  <w:num w:numId="60">
    <w:abstractNumId w:val="63"/>
  </w:num>
  <w:num w:numId="61">
    <w:abstractNumId w:val="9"/>
  </w:num>
  <w:num w:numId="62">
    <w:abstractNumId w:val="39"/>
  </w:num>
  <w:num w:numId="63">
    <w:abstractNumId w:val="21"/>
  </w:num>
  <w:num w:numId="64">
    <w:abstractNumId w:val="62"/>
  </w:num>
  <w:num w:numId="65">
    <w:abstractNumId w:val="37"/>
  </w:num>
  <w:num w:numId="66">
    <w:abstractNumId w:val="47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72EA059D-1939-4C12-B26B-A051907007EC}"/>
  </w:docVars>
  <w:rsids>
    <w:rsidRoot w:val="002D350D"/>
    <w:rsid w:val="000069BA"/>
    <w:rsid w:val="0000734A"/>
    <w:rsid w:val="00007EA0"/>
    <w:rsid w:val="00010AD9"/>
    <w:rsid w:val="00012CAB"/>
    <w:rsid w:val="0001323B"/>
    <w:rsid w:val="000141AB"/>
    <w:rsid w:val="00015819"/>
    <w:rsid w:val="00017560"/>
    <w:rsid w:val="000176D9"/>
    <w:rsid w:val="00017D9E"/>
    <w:rsid w:val="00020C68"/>
    <w:rsid w:val="00022229"/>
    <w:rsid w:val="00030953"/>
    <w:rsid w:val="000343C7"/>
    <w:rsid w:val="00040152"/>
    <w:rsid w:val="00042270"/>
    <w:rsid w:val="00042E38"/>
    <w:rsid w:val="000478E2"/>
    <w:rsid w:val="0005087A"/>
    <w:rsid w:val="00052EEA"/>
    <w:rsid w:val="00053BDD"/>
    <w:rsid w:val="00053F6C"/>
    <w:rsid w:val="00054823"/>
    <w:rsid w:val="0005535A"/>
    <w:rsid w:val="00057799"/>
    <w:rsid w:val="00061F20"/>
    <w:rsid w:val="000662DF"/>
    <w:rsid w:val="00066378"/>
    <w:rsid w:val="00067BE1"/>
    <w:rsid w:val="00071A17"/>
    <w:rsid w:val="00072848"/>
    <w:rsid w:val="0007731F"/>
    <w:rsid w:val="00080D83"/>
    <w:rsid w:val="000821C8"/>
    <w:rsid w:val="00083B17"/>
    <w:rsid w:val="0008441A"/>
    <w:rsid w:val="00084611"/>
    <w:rsid w:val="00084CD8"/>
    <w:rsid w:val="00087B41"/>
    <w:rsid w:val="00087DBD"/>
    <w:rsid w:val="00094B29"/>
    <w:rsid w:val="00096571"/>
    <w:rsid w:val="00097E86"/>
    <w:rsid w:val="000A03AF"/>
    <w:rsid w:val="000A3DA2"/>
    <w:rsid w:val="000A3F96"/>
    <w:rsid w:val="000B2746"/>
    <w:rsid w:val="000B3DDA"/>
    <w:rsid w:val="000B4E4B"/>
    <w:rsid w:val="000B6782"/>
    <w:rsid w:val="000B71E6"/>
    <w:rsid w:val="000B7522"/>
    <w:rsid w:val="000C02A5"/>
    <w:rsid w:val="000C1DB2"/>
    <w:rsid w:val="000C6C33"/>
    <w:rsid w:val="000D0AAD"/>
    <w:rsid w:val="000D283E"/>
    <w:rsid w:val="000D33BD"/>
    <w:rsid w:val="000D4A9E"/>
    <w:rsid w:val="000D5098"/>
    <w:rsid w:val="000E454A"/>
    <w:rsid w:val="000E53B1"/>
    <w:rsid w:val="000E730C"/>
    <w:rsid w:val="000F03A4"/>
    <w:rsid w:val="000F0B4F"/>
    <w:rsid w:val="000F0DF2"/>
    <w:rsid w:val="000F139B"/>
    <w:rsid w:val="000F20DC"/>
    <w:rsid w:val="000F5A63"/>
    <w:rsid w:val="000F7A32"/>
    <w:rsid w:val="00100400"/>
    <w:rsid w:val="001005E3"/>
    <w:rsid w:val="001070C1"/>
    <w:rsid w:val="001149FF"/>
    <w:rsid w:val="00114F98"/>
    <w:rsid w:val="00116377"/>
    <w:rsid w:val="00116EC7"/>
    <w:rsid w:val="0012009B"/>
    <w:rsid w:val="001204E4"/>
    <w:rsid w:val="00123D1C"/>
    <w:rsid w:val="00124D4A"/>
    <w:rsid w:val="00130B23"/>
    <w:rsid w:val="001326BE"/>
    <w:rsid w:val="00132C82"/>
    <w:rsid w:val="001342DE"/>
    <w:rsid w:val="00134CFC"/>
    <w:rsid w:val="00136693"/>
    <w:rsid w:val="00141936"/>
    <w:rsid w:val="0014294C"/>
    <w:rsid w:val="00143CF9"/>
    <w:rsid w:val="001440C1"/>
    <w:rsid w:val="00144B87"/>
    <w:rsid w:val="00147509"/>
    <w:rsid w:val="00152EF2"/>
    <w:rsid w:val="00153CB8"/>
    <w:rsid w:val="0016570F"/>
    <w:rsid w:val="0018125E"/>
    <w:rsid w:val="00184F9D"/>
    <w:rsid w:val="00185FC7"/>
    <w:rsid w:val="00187655"/>
    <w:rsid w:val="00192BC9"/>
    <w:rsid w:val="0019316A"/>
    <w:rsid w:val="001931B1"/>
    <w:rsid w:val="00197893"/>
    <w:rsid w:val="001A0442"/>
    <w:rsid w:val="001B0333"/>
    <w:rsid w:val="001B210F"/>
    <w:rsid w:val="001B2FD1"/>
    <w:rsid w:val="001C1191"/>
    <w:rsid w:val="001C27C0"/>
    <w:rsid w:val="001C2CE4"/>
    <w:rsid w:val="001C3E60"/>
    <w:rsid w:val="001C6A54"/>
    <w:rsid w:val="001D12A5"/>
    <w:rsid w:val="001D1819"/>
    <w:rsid w:val="001D1C6F"/>
    <w:rsid w:val="001D40D2"/>
    <w:rsid w:val="001D567D"/>
    <w:rsid w:val="001D7010"/>
    <w:rsid w:val="001E0FBF"/>
    <w:rsid w:val="001E5FC5"/>
    <w:rsid w:val="001F00E2"/>
    <w:rsid w:val="001F0F7A"/>
    <w:rsid w:val="001F4C39"/>
    <w:rsid w:val="001F5B45"/>
    <w:rsid w:val="001F7DCD"/>
    <w:rsid w:val="0020035D"/>
    <w:rsid w:val="00207992"/>
    <w:rsid w:val="00210239"/>
    <w:rsid w:val="002108DA"/>
    <w:rsid w:val="002138FC"/>
    <w:rsid w:val="00221CED"/>
    <w:rsid w:val="00222B0F"/>
    <w:rsid w:val="00223625"/>
    <w:rsid w:val="00223C10"/>
    <w:rsid w:val="002254D9"/>
    <w:rsid w:val="00233AF7"/>
    <w:rsid w:val="002373EB"/>
    <w:rsid w:val="002379D9"/>
    <w:rsid w:val="00241C1F"/>
    <w:rsid w:val="002425AE"/>
    <w:rsid w:val="00245E9D"/>
    <w:rsid w:val="00246C02"/>
    <w:rsid w:val="00247F19"/>
    <w:rsid w:val="00251BB4"/>
    <w:rsid w:val="00254AED"/>
    <w:rsid w:val="002624FF"/>
    <w:rsid w:val="00265F1B"/>
    <w:rsid w:val="00267699"/>
    <w:rsid w:val="00267CE8"/>
    <w:rsid w:val="00271171"/>
    <w:rsid w:val="002724EB"/>
    <w:rsid w:val="00274759"/>
    <w:rsid w:val="00276356"/>
    <w:rsid w:val="002800A3"/>
    <w:rsid w:val="00281A29"/>
    <w:rsid w:val="00283182"/>
    <w:rsid w:val="002860D6"/>
    <w:rsid w:val="002867BE"/>
    <w:rsid w:val="00297A85"/>
    <w:rsid w:val="002A241C"/>
    <w:rsid w:val="002A611F"/>
    <w:rsid w:val="002A66CD"/>
    <w:rsid w:val="002A6DFF"/>
    <w:rsid w:val="002A76B8"/>
    <w:rsid w:val="002A7C40"/>
    <w:rsid w:val="002B0A52"/>
    <w:rsid w:val="002B0F96"/>
    <w:rsid w:val="002B3827"/>
    <w:rsid w:val="002B423E"/>
    <w:rsid w:val="002B6903"/>
    <w:rsid w:val="002C13C6"/>
    <w:rsid w:val="002C30DE"/>
    <w:rsid w:val="002C6347"/>
    <w:rsid w:val="002C6567"/>
    <w:rsid w:val="002D0940"/>
    <w:rsid w:val="002D0E53"/>
    <w:rsid w:val="002D1B19"/>
    <w:rsid w:val="002D1EA1"/>
    <w:rsid w:val="002D350D"/>
    <w:rsid w:val="002D4048"/>
    <w:rsid w:val="002D4901"/>
    <w:rsid w:val="002D4D93"/>
    <w:rsid w:val="002D5D48"/>
    <w:rsid w:val="002D737F"/>
    <w:rsid w:val="002E174D"/>
    <w:rsid w:val="002E1859"/>
    <w:rsid w:val="002E226B"/>
    <w:rsid w:val="002E3D5C"/>
    <w:rsid w:val="002E3F94"/>
    <w:rsid w:val="002E7332"/>
    <w:rsid w:val="002F165A"/>
    <w:rsid w:val="002F6436"/>
    <w:rsid w:val="0030073A"/>
    <w:rsid w:val="00301A47"/>
    <w:rsid w:val="003030FA"/>
    <w:rsid w:val="0030437F"/>
    <w:rsid w:val="003076B2"/>
    <w:rsid w:val="00307DC9"/>
    <w:rsid w:val="00311A9A"/>
    <w:rsid w:val="00312B5F"/>
    <w:rsid w:val="0031450F"/>
    <w:rsid w:val="00315534"/>
    <w:rsid w:val="003163C4"/>
    <w:rsid w:val="00316435"/>
    <w:rsid w:val="00320AAC"/>
    <w:rsid w:val="00325198"/>
    <w:rsid w:val="00326B71"/>
    <w:rsid w:val="00332917"/>
    <w:rsid w:val="00334AD7"/>
    <w:rsid w:val="003352A8"/>
    <w:rsid w:val="00336B47"/>
    <w:rsid w:val="00340411"/>
    <w:rsid w:val="00342E0A"/>
    <w:rsid w:val="0034327F"/>
    <w:rsid w:val="003452F2"/>
    <w:rsid w:val="0035482A"/>
    <w:rsid w:val="00356D6A"/>
    <w:rsid w:val="003576B5"/>
    <w:rsid w:val="003619F2"/>
    <w:rsid w:val="0036572A"/>
    <w:rsid w:val="00365820"/>
    <w:rsid w:val="00365FB5"/>
    <w:rsid w:val="0036666B"/>
    <w:rsid w:val="003676D6"/>
    <w:rsid w:val="00370E7C"/>
    <w:rsid w:val="00377686"/>
    <w:rsid w:val="00380870"/>
    <w:rsid w:val="00382E0B"/>
    <w:rsid w:val="00383C3C"/>
    <w:rsid w:val="00390CA1"/>
    <w:rsid w:val="00393574"/>
    <w:rsid w:val="003948A7"/>
    <w:rsid w:val="003975BA"/>
    <w:rsid w:val="003A0730"/>
    <w:rsid w:val="003A155D"/>
    <w:rsid w:val="003A16DF"/>
    <w:rsid w:val="003A5835"/>
    <w:rsid w:val="003B5504"/>
    <w:rsid w:val="003B7729"/>
    <w:rsid w:val="003B7DAA"/>
    <w:rsid w:val="003C554F"/>
    <w:rsid w:val="003C6F4C"/>
    <w:rsid w:val="003D1EC9"/>
    <w:rsid w:val="003D5596"/>
    <w:rsid w:val="003D73A3"/>
    <w:rsid w:val="003E099F"/>
    <w:rsid w:val="003E1E55"/>
    <w:rsid w:val="003E607B"/>
    <w:rsid w:val="003E684E"/>
    <w:rsid w:val="003F3392"/>
    <w:rsid w:val="003F3E12"/>
    <w:rsid w:val="003F3E63"/>
    <w:rsid w:val="003F5EB6"/>
    <w:rsid w:val="004006F3"/>
    <w:rsid w:val="0040149C"/>
    <w:rsid w:val="0040167D"/>
    <w:rsid w:val="00402C51"/>
    <w:rsid w:val="00404AA7"/>
    <w:rsid w:val="0040686C"/>
    <w:rsid w:val="00412AC5"/>
    <w:rsid w:val="00414252"/>
    <w:rsid w:val="00414478"/>
    <w:rsid w:val="004147C3"/>
    <w:rsid w:val="00420B26"/>
    <w:rsid w:val="00427520"/>
    <w:rsid w:val="00427882"/>
    <w:rsid w:val="00433705"/>
    <w:rsid w:val="0043582D"/>
    <w:rsid w:val="00437E0E"/>
    <w:rsid w:val="00442705"/>
    <w:rsid w:val="00442D41"/>
    <w:rsid w:val="0044333B"/>
    <w:rsid w:val="00444647"/>
    <w:rsid w:val="00447CD1"/>
    <w:rsid w:val="004514A0"/>
    <w:rsid w:val="0045246C"/>
    <w:rsid w:val="0045321F"/>
    <w:rsid w:val="004618AD"/>
    <w:rsid w:val="004623F1"/>
    <w:rsid w:val="0046270C"/>
    <w:rsid w:val="00463207"/>
    <w:rsid w:val="00464C79"/>
    <w:rsid w:val="00466B2F"/>
    <w:rsid w:val="00467A39"/>
    <w:rsid w:val="00470674"/>
    <w:rsid w:val="00470FE4"/>
    <w:rsid w:val="00471B59"/>
    <w:rsid w:val="00472846"/>
    <w:rsid w:val="00472FF6"/>
    <w:rsid w:val="00474047"/>
    <w:rsid w:val="00486656"/>
    <w:rsid w:val="00487277"/>
    <w:rsid w:val="0049060A"/>
    <w:rsid w:val="00492BD3"/>
    <w:rsid w:val="00493416"/>
    <w:rsid w:val="00495DE4"/>
    <w:rsid w:val="004A1128"/>
    <w:rsid w:val="004A1E42"/>
    <w:rsid w:val="004A532F"/>
    <w:rsid w:val="004A7F20"/>
    <w:rsid w:val="004B0265"/>
    <w:rsid w:val="004B0784"/>
    <w:rsid w:val="004B0AC3"/>
    <w:rsid w:val="004B1FE1"/>
    <w:rsid w:val="004B3DB9"/>
    <w:rsid w:val="004B47AC"/>
    <w:rsid w:val="004B57A5"/>
    <w:rsid w:val="004B5A58"/>
    <w:rsid w:val="004B5E35"/>
    <w:rsid w:val="004B6FA5"/>
    <w:rsid w:val="004B70BD"/>
    <w:rsid w:val="004C349F"/>
    <w:rsid w:val="004D01CC"/>
    <w:rsid w:val="004D491B"/>
    <w:rsid w:val="004D4F8A"/>
    <w:rsid w:val="004D6B21"/>
    <w:rsid w:val="004D78D2"/>
    <w:rsid w:val="004E3701"/>
    <w:rsid w:val="004E4701"/>
    <w:rsid w:val="004E5507"/>
    <w:rsid w:val="004E6DBA"/>
    <w:rsid w:val="004E7135"/>
    <w:rsid w:val="004F04E8"/>
    <w:rsid w:val="004F05C1"/>
    <w:rsid w:val="004F1100"/>
    <w:rsid w:val="004F3304"/>
    <w:rsid w:val="004F41ED"/>
    <w:rsid w:val="00500BA1"/>
    <w:rsid w:val="00500D59"/>
    <w:rsid w:val="00505053"/>
    <w:rsid w:val="00506660"/>
    <w:rsid w:val="00506FF2"/>
    <w:rsid w:val="00513A59"/>
    <w:rsid w:val="0051406D"/>
    <w:rsid w:val="00515D0A"/>
    <w:rsid w:val="00520776"/>
    <w:rsid w:val="00521AC9"/>
    <w:rsid w:val="005222F7"/>
    <w:rsid w:val="00532284"/>
    <w:rsid w:val="00533034"/>
    <w:rsid w:val="00533FFD"/>
    <w:rsid w:val="00535135"/>
    <w:rsid w:val="00535493"/>
    <w:rsid w:val="005400E2"/>
    <w:rsid w:val="00547932"/>
    <w:rsid w:val="00547C69"/>
    <w:rsid w:val="005626F0"/>
    <w:rsid w:val="0056772F"/>
    <w:rsid w:val="00567A4B"/>
    <w:rsid w:val="0057042A"/>
    <w:rsid w:val="00571964"/>
    <w:rsid w:val="005760A9"/>
    <w:rsid w:val="00577891"/>
    <w:rsid w:val="00582453"/>
    <w:rsid w:val="00582A85"/>
    <w:rsid w:val="00582BF4"/>
    <w:rsid w:val="00591DA7"/>
    <w:rsid w:val="00592CB5"/>
    <w:rsid w:val="00594464"/>
    <w:rsid w:val="00594C89"/>
    <w:rsid w:val="00594E48"/>
    <w:rsid w:val="00596031"/>
    <w:rsid w:val="005967FB"/>
    <w:rsid w:val="005A2FDD"/>
    <w:rsid w:val="005A430D"/>
    <w:rsid w:val="005A76E4"/>
    <w:rsid w:val="005B197D"/>
    <w:rsid w:val="005B3101"/>
    <w:rsid w:val="005B3123"/>
    <w:rsid w:val="005B515B"/>
    <w:rsid w:val="005B66BE"/>
    <w:rsid w:val="005C1043"/>
    <w:rsid w:val="005C2EE2"/>
    <w:rsid w:val="005C4416"/>
    <w:rsid w:val="005C7263"/>
    <w:rsid w:val="005C784E"/>
    <w:rsid w:val="005D4E3C"/>
    <w:rsid w:val="005D7891"/>
    <w:rsid w:val="005E016F"/>
    <w:rsid w:val="005E1EA9"/>
    <w:rsid w:val="005F03CE"/>
    <w:rsid w:val="005F31B5"/>
    <w:rsid w:val="005F4F0A"/>
    <w:rsid w:val="005F548D"/>
    <w:rsid w:val="005F70B7"/>
    <w:rsid w:val="00602578"/>
    <w:rsid w:val="006108CA"/>
    <w:rsid w:val="006137DC"/>
    <w:rsid w:val="0061551E"/>
    <w:rsid w:val="00616AFB"/>
    <w:rsid w:val="00620714"/>
    <w:rsid w:val="00622781"/>
    <w:rsid w:val="0062669B"/>
    <w:rsid w:val="0062687B"/>
    <w:rsid w:val="00627F01"/>
    <w:rsid w:val="00631A81"/>
    <w:rsid w:val="006348C3"/>
    <w:rsid w:val="00634DB6"/>
    <w:rsid w:val="006402D8"/>
    <w:rsid w:val="0064066E"/>
    <w:rsid w:val="00640BFF"/>
    <w:rsid w:val="00640EE7"/>
    <w:rsid w:val="00647028"/>
    <w:rsid w:val="00647992"/>
    <w:rsid w:val="00650580"/>
    <w:rsid w:val="00652022"/>
    <w:rsid w:val="00653318"/>
    <w:rsid w:val="00657D23"/>
    <w:rsid w:val="006603A0"/>
    <w:rsid w:val="006607BF"/>
    <w:rsid w:val="00662A91"/>
    <w:rsid w:val="006645D5"/>
    <w:rsid w:val="00670066"/>
    <w:rsid w:val="00670AB2"/>
    <w:rsid w:val="00673C7C"/>
    <w:rsid w:val="006740B9"/>
    <w:rsid w:val="00674997"/>
    <w:rsid w:val="00681447"/>
    <w:rsid w:val="00683429"/>
    <w:rsid w:val="00684B60"/>
    <w:rsid w:val="00686A64"/>
    <w:rsid w:val="00687656"/>
    <w:rsid w:val="00690603"/>
    <w:rsid w:val="00692C00"/>
    <w:rsid w:val="00693649"/>
    <w:rsid w:val="00693CEF"/>
    <w:rsid w:val="00694ABE"/>
    <w:rsid w:val="00695E2F"/>
    <w:rsid w:val="0069621B"/>
    <w:rsid w:val="006A1A3F"/>
    <w:rsid w:val="006A3612"/>
    <w:rsid w:val="006A5C70"/>
    <w:rsid w:val="006A7227"/>
    <w:rsid w:val="006B0A18"/>
    <w:rsid w:val="006B2A55"/>
    <w:rsid w:val="006B2B7A"/>
    <w:rsid w:val="006D18F1"/>
    <w:rsid w:val="006D3784"/>
    <w:rsid w:val="006D3D86"/>
    <w:rsid w:val="006D4D4D"/>
    <w:rsid w:val="006D5038"/>
    <w:rsid w:val="006D6DD9"/>
    <w:rsid w:val="006D706A"/>
    <w:rsid w:val="006D7129"/>
    <w:rsid w:val="006D7773"/>
    <w:rsid w:val="006E1F1E"/>
    <w:rsid w:val="006E3B2B"/>
    <w:rsid w:val="006E469C"/>
    <w:rsid w:val="006E57A9"/>
    <w:rsid w:val="006E63C3"/>
    <w:rsid w:val="006F209E"/>
    <w:rsid w:val="006F5032"/>
    <w:rsid w:val="00702CE9"/>
    <w:rsid w:val="0070619F"/>
    <w:rsid w:val="007065C9"/>
    <w:rsid w:val="00706DE0"/>
    <w:rsid w:val="00723E15"/>
    <w:rsid w:val="00727F94"/>
    <w:rsid w:val="0073139A"/>
    <w:rsid w:val="00732900"/>
    <w:rsid w:val="007337EB"/>
    <w:rsid w:val="00736FC2"/>
    <w:rsid w:val="00743D94"/>
    <w:rsid w:val="00745D18"/>
    <w:rsid w:val="0075160D"/>
    <w:rsid w:val="00751D79"/>
    <w:rsid w:val="00761657"/>
    <w:rsid w:val="00764CB4"/>
    <w:rsid w:val="0077039A"/>
    <w:rsid w:val="00775095"/>
    <w:rsid w:val="00775618"/>
    <w:rsid w:val="00776530"/>
    <w:rsid w:val="007768AB"/>
    <w:rsid w:val="007772AE"/>
    <w:rsid w:val="00783C9C"/>
    <w:rsid w:val="00787CE1"/>
    <w:rsid w:val="00791A39"/>
    <w:rsid w:val="00791E8E"/>
    <w:rsid w:val="007969FA"/>
    <w:rsid w:val="007A0109"/>
    <w:rsid w:val="007A1C92"/>
    <w:rsid w:val="007A1CA5"/>
    <w:rsid w:val="007A3A37"/>
    <w:rsid w:val="007B14D9"/>
    <w:rsid w:val="007B2500"/>
    <w:rsid w:val="007B6356"/>
    <w:rsid w:val="007B6C23"/>
    <w:rsid w:val="007C3CBA"/>
    <w:rsid w:val="007C7D98"/>
    <w:rsid w:val="007D2BA3"/>
    <w:rsid w:val="007D4247"/>
    <w:rsid w:val="007D61D6"/>
    <w:rsid w:val="007D6790"/>
    <w:rsid w:val="007D7549"/>
    <w:rsid w:val="007E0F43"/>
    <w:rsid w:val="007E130A"/>
    <w:rsid w:val="007E1B19"/>
    <w:rsid w:val="007E3BB1"/>
    <w:rsid w:val="007E5F50"/>
    <w:rsid w:val="007E6A43"/>
    <w:rsid w:val="007E745A"/>
    <w:rsid w:val="007E7581"/>
    <w:rsid w:val="007F3623"/>
    <w:rsid w:val="007F79AE"/>
    <w:rsid w:val="00800504"/>
    <w:rsid w:val="00802DEB"/>
    <w:rsid w:val="00807747"/>
    <w:rsid w:val="00807E8E"/>
    <w:rsid w:val="00810200"/>
    <w:rsid w:val="00812B8C"/>
    <w:rsid w:val="00812C17"/>
    <w:rsid w:val="008130F4"/>
    <w:rsid w:val="00814E0D"/>
    <w:rsid w:val="0081730E"/>
    <w:rsid w:val="008208BC"/>
    <w:rsid w:val="00820A32"/>
    <w:rsid w:val="00826FA1"/>
    <w:rsid w:val="00827311"/>
    <w:rsid w:val="00833946"/>
    <w:rsid w:val="00834BB4"/>
    <w:rsid w:val="00835187"/>
    <w:rsid w:val="008371C0"/>
    <w:rsid w:val="008418CB"/>
    <w:rsid w:val="00844667"/>
    <w:rsid w:val="00845837"/>
    <w:rsid w:val="00846ADD"/>
    <w:rsid w:val="00847555"/>
    <w:rsid w:val="00850861"/>
    <w:rsid w:val="00854990"/>
    <w:rsid w:val="00855B56"/>
    <w:rsid w:val="00861976"/>
    <w:rsid w:val="0086427F"/>
    <w:rsid w:val="008673D1"/>
    <w:rsid w:val="008675C6"/>
    <w:rsid w:val="00867E8A"/>
    <w:rsid w:val="00870680"/>
    <w:rsid w:val="008720EB"/>
    <w:rsid w:val="00882C07"/>
    <w:rsid w:val="00882D03"/>
    <w:rsid w:val="00883816"/>
    <w:rsid w:val="00884A75"/>
    <w:rsid w:val="008908E3"/>
    <w:rsid w:val="00891D45"/>
    <w:rsid w:val="008945D9"/>
    <w:rsid w:val="00894BCE"/>
    <w:rsid w:val="00895A0E"/>
    <w:rsid w:val="00897656"/>
    <w:rsid w:val="0089778B"/>
    <w:rsid w:val="008A0BED"/>
    <w:rsid w:val="008A347F"/>
    <w:rsid w:val="008A6120"/>
    <w:rsid w:val="008B0446"/>
    <w:rsid w:val="008B1F62"/>
    <w:rsid w:val="008B3728"/>
    <w:rsid w:val="008B3EFD"/>
    <w:rsid w:val="008B4469"/>
    <w:rsid w:val="008B4713"/>
    <w:rsid w:val="008B522E"/>
    <w:rsid w:val="008B72CF"/>
    <w:rsid w:val="008C1255"/>
    <w:rsid w:val="008C1CBF"/>
    <w:rsid w:val="008C4F64"/>
    <w:rsid w:val="008D0627"/>
    <w:rsid w:val="008D12E0"/>
    <w:rsid w:val="008D148F"/>
    <w:rsid w:val="008D322E"/>
    <w:rsid w:val="008D3D9D"/>
    <w:rsid w:val="008D6305"/>
    <w:rsid w:val="008E19CA"/>
    <w:rsid w:val="008E46DD"/>
    <w:rsid w:val="008E5450"/>
    <w:rsid w:val="008E76F0"/>
    <w:rsid w:val="008F0BF5"/>
    <w:rsid w:val="008F55B5"/>
    <w:rsid w:val="008F745E"/>
    <w:rsid w:val="00903241"/>
    <w:rsid w:val="00904215"/>
    <w:rsid w:val="00904E28"/>
    <w:rsid w:val="00910A73"/>
    <w:rsid w:val="00911115"/>
    <w:rsid w:val="00911F3A"/>
    <w:rsid w:val="00917BB0"/>
    <w:rsid w:val="00917E18"/>
    <w:rsid w:val="0092036C"/>
    <w:rsid w:val="0092276D"/>
    <w:rsid w:val="00926970"/>
    <w:rsid w:val="00927369"/>
    <w:rsid w:val="0093051E"/>
    <w:rsid w:val="00931D69"/>
    <w:rsid w:val="00932F34"/>
    <w:rsid w:val="00937A65"/>
    <w:rsid w:val="00940B3B"/>
    <w:rsid w:val="00945B22"/>
    <w:rsid w:val="0094785D"/>
    <w:rsid w:val="00951C47"/>
    <w:rsid w:val="0095226B"/>
    <w:rsid w:val="009542C5"/>
    <w:rsid w:val="009542DF"/>
    <w:rsid w:val="00954D31"/>
    <w:rsid w:val="00955614"/>
    <w:rsid w:val="00956490"/>
    <w:rsid w:val="00957074"/>
    <w:rsid w:val="00960E38"/>
    <w:rsid w:val="00961D1C"/>
    <w:rsid w:val="0096558D"/>
    <w:rsid w:val="00971EF6"/>
    <w:rsid w:val="00973F59"/>
    <w:rsid w:val="0097741F"/>
    <w:rsid w:val="00983F0D"/>
    <w:rsid w:val="0098635D"/>
    <w:rsid w:val="00990AEC"/>
    <w:rsid w:val="00991DBD"/>
    <w:rsid w:val="00993C6D"/>
    <w:rsid w:val="009A6B40"/>
    <w:rsid w:val="009B3B36"/>
    <w:rsid w:val="009B5D1B"/>
    <w:rsid w:val="009C169D"/>
    <w:rsid w:val="009C1EBE"/>
    <w:rsid w:val="009D063E"/>
    <w:rsid w:val="009D0C93"/>
    <w:rsid w:val="009D1A4A"/>
    <w:rsid w:val="009D3F6F"/>
    <w:rsid w:val="009D43BE"/>
    <w:rsid w:val="009D663D"/>
    <w:rsid w:val="009D6B20"/>
    <w:rsid w:val="009D71C1"/>
    <w:rsid w:val="009E0DD7"/>
    <w:rsid w:val="009E0FEF"/>
    <w:rsid w:val="009F0B1E"/>
    <w:rsid w:val="009F18A7"/>
    <w:rsid w:val="009F1D51"/>
    <w:rsid w:val="009F24B5"/>
    <w:rsid w:val="009F2CF0"/>
    <w:rsid w:val="009F583A"/>
    <w:rsid w:val="009F7382"/>
    <w:rsid w:val="00A00D29"/>
    <w:rsid w:val="00A043FF"/>
    <w:rsid w:val="00A04690"/>
    <w:rsid w:val="00A10C78"/>
    <w:rsid w:val="00A1242E"/>
    <w:rsid w:val="00A12ABF"/>
    <w:rsid w:val="00A2019D"/>
    <w:rsid w:val="00A20B89"/>
    <w:rsid w:val="00A20B9B"/>
    <w:rsid w:val="00A26F94"/>
    <w:rsid w:val="00A33981"/>
    <w:rsid w:val="00A40D8D"/>
    <w:rsid w:val="00A40DD3"/>
    <w:rsid w:val="00A43595"/>
    <w:rsid w:val="00A444D1"/>
    <w:rsid w:val="00A46E21"/>
    <w:rsid w:val="00A502CC"/>
    <w:rsid w:val="00A539C9"/>
    <w:rsid w:val="00A54AFC"/>
    <w:rsid w:val="00A54DE3"/>
    <w:rsid w:val="00A55BB2"/>
    <w:rsid w:val="00A55CAA"/>
    <w:rsid w:val="00A56C6E"/>
    <w:rsid w:val="00A64A4C"/>
    <w:rsid w:val="00A659A3"/>
    <w:rsid w:val="00A74C13"/>
    <w:rsid w:val="00A809A0"/>
    <w:rsid w:val="00A81678"/>
    <w:rsid w:val="00A818DF"/>
    <w:rsid w:val="00A82870"/>
    <w:rsid w:val="00A8311B"/>
    <w:rsid w:val="00A855CF"/>
    <w:rsid w:val="00A86487"/>
    <w:rsid w:val="00A95588"/>
    <w:rsid w:val="00A958A6"/>
    <w:rsid w:val="00AA0894"/>
    <w:rsid w:val="00AA22EF"/>
    <w:rsid w:val="00AA31BC"/>
    <w:rsid w:val="00AA37D5"/>
    <w:rsid w:val="00AA7D42"/>
    <w:rsid w:val="00AB088D"/>
    <w:rsid w:val="00AB7472"/>
    <w:rsid w:val="00AC033A"/>
    <w:rsid w:val="00AC0C4C"/>
    <w:rsid w:val="00AC636C"/>
    <w:rsid w:val="00AD2CA6"/>
    <w:rsid w:val="00AD4069"/>
    <w:rsid w:val="00AD68A9"/>
    <w:rsid w:val="00AD7CB5"/>
    <w:rsid w:val="00AE0EDC"/>
    <w:rsid w:val="00AE2744"/>
    <w:rsid w:val="00AE4885"/>
    <w:rsid w:val="00AF1648"/>
    <w:rsid w:val="00B00F26"/>
    <w:rsid w:val="00B01F08"/>
    <w:rsid w:val="00B03A1E"/>
    <w:rsid w:val="00B04E20"/>
    <w:rsid w:val="00B05EAF"/>
    <w:rsid w:val="00B07770"/>
    <w:rsid w:val="00B1298B"/>
    <w:rsid w:val="00B13EC9"/>
    <w:rsid w:val="00B1489E"/>
    <w:rsid w:val="00B16E8F"/>
    <w:rsid w:val="00B30401"/>
    <w:rsid w:val="00B3172D"/>
    <w:rsid w:val="00B334CB"/>
    <w:rsid w:val="00B34B7D"/>
    <w:rsid w:val="00B41B57"/>
    <w:rsid w:val="00B4687E"/>
    <w:rsid w:val="00B46E50"/>
    <w:rsid w:val="00B4716D"/>
    <w:rsid w:val="00B472BD"/>
    <w:rsid w:val="00B5478A"/>
    <w:rsid w:val="00B548B6"/>
    <w:rsid w:val="00B55528"/>
    <w:rsid w:val="00B604C0"/>
    <w:rsid w:val="00B614AE"/>
    <w:rsid w:val="00B63831"/>
    <w:rsid w:val="00B639BF"/>
    <w:rsid w:val="00B6637D"/>
    <w:rsid w:val="00B669EB"/>
    <w:rsid w:val="00B66B86"/>
    <w:rsid w:val="00B703E9"/>
    <w:rsid w:val="00B80FDE"/>
    <w:rsid w:val="00B82A6B"/>
    <w:rsid w:val="00B82EEB"/>
    <w:rsid w:val="00B849A4"/>
    <w:rsid w:val="00B8707C"/>
    <w:rsid w:val="00BA0423"/>
    <w:rsid w:val="00BA0DA7"/>
    <w:rsid w:val="00BA1194"/>
    <w:rsid w:val="00BA2319"/>
    <w:rsid w:val="00BA2E47"/>
    <w:rsid w:val="00BA63E7"/>
    <w:rsid w:val="00BA6C35"/>
    <w:rsid w:val="00BB00B7"/>
    <w:rsid w:val="00BB0824"/>
    <w:rsid w:val="00BB0DC9"/>
    <w:rsid w:val="00BB76D0"/>
    <w:rsid w:val="00BB782F"/>
    <w:rsid w:val="00BC363C"/>
    <w:rsid w:val="00BC5344"/>
    <w:rsid w:val="00BD4938"/>
    <w:rsid w:val="00BD4A00"/>
    <w:rsid w:val="00BD5219"/>
    <w:rsid w:val="00BD6F40"/>
    <w:rsid w:val="00BE1684"/>
    <w:rsid w:val="00BE1EE1"/>
    <w:rsid w:val="00BE1F7B"/>
    <w:rsid w:val="00BE2F10"/>
    <w:rsid w:val="00BF0D94"/>
    <w:rsid w:val="00BF162B"/>
    <w:rsid w:val="00BF1F2C"/>
    <w:rsid w:val="00BF371F"/>
    <w:rsid w:val="00BF4245"/>
    <w:rsid w:val="00BF4A4A"/>
    <w:rsid w:val="00BF7095"/>
    <w:rsid w:val="00C015D8"/>
    <w:rsid w:val="00C024C6"/>
    <w:rsid w:val="00C03D86"/>
    <w:rsid w:val="00C0566D"/>
    <w:rsid w:val="00C1117C"/>
    <w:rsid w:val="00C13BBF"/>
    <w:rsid w:val="00C14AE5"/>
    <w:rsid w:val="00C15C81"/>
    <w:rsid w:val="00C1636C"/>
    <w:rsid w:val="00C17B58"/>
    <w:rsid w:val="00C22CB0"/>
    <w:rsid w:val="00C25C13"/>
    <w:rsid w:val="00C277ED"/>
    <w:rsid w:val="00C342D8"/>
    <w:rsid w:val="00C355E3"/>
    <w:rsid w:val="00C36590"/>
    <w:rsid w:val="00C4047D"/>
    <w:rsid w:val="00C4159D"/>
    <w:rsid w:val="00C44A70"/>
    <w:rsid w:val="00C4648C"/>
    <w:rsid w:val="00C46945"/>
    <w:rsid w:val="00C473CF"/>
    <w:rsid w:val="00C509ED"/>
    <w:rsid w:val="00C50C49"/>
    <w:rsid w:val="00C534CF"/>
    <w:rsid w:val="00C5675F"/>
    <w:rsid w:val="00C5709F"/>
    <w:rsid w:val="00C572E3"/>
    <w:rsid w:val="00C62C24"/>
    <w:rsid w:val="00C635B6"/>
    <w:rsid w:val="00C65AB4"/>
    <w:rsid w:val="00C65AF8"/>
    <w:rsid w:val="00C718BA"/>
    <w:rsid w:val="00C72F9D"/>
    <w:rsid w:val="00C804B5"/>
    <w:rsid w:val="00C82C6F"/>
    <w:rsid w:val="00C83981"/>
    <w:rsid w:val="00C855FE"/>
    <w:rsid w:val="00C87202"/>
    <w:rsid w:val="00C8742C"/>
    <w:rsid w:val="00C90AFC"/>
    <w:rsid w:val="00C91F89"/>
    <w:rsid w:val="00C94706"/>
    <w:rsid w:val="00C96C3B"/>
    <w:rsid w:val="00C97ACA"/>
    <w:rsid w:val="00CA5206"/>
    <w:rsid w:val="00CA5639"/>
    <w:rsid w:val="00CA724E"/>
    <w:rsid w:val="00CC6300"/>
    <w:rsid w:val="00CC7AFF"/>
    <w:rsid w:val="00CD0B26"/>
    <w:rsid w:val="00CD1379"/>
    <w:rsid w:val="00CD3EFC"/>
    <w:rsid w:val="00CD6F95"/>
    <w:rsid w:val="00CE005B"/>
    <w:rsid w:val="00CE1246"/>
    <w:rsid w:val="00CE61E9"/>
    <w:rsid w:val="00CE75B2"/>
    <w:rsid w:val="00CF0FE0"/>
    <w:rsid w:val="00CF1A49"/>
    <w:rsid w:val="00CF476D"/>
    <w:rsid w:val="00D00CE2"/>
    <w:rsid w:val="00D02B10"/>
    <w:rsid w:val="00D0361A"/>
    <w:rsid w:val="00D03A17"/>
    <w:rsid w:val="00D03C39"/>
    <w:rsid w:val="00D04197"/>
    <w:rsid w:val="00D045B2"/>
    <w:rsid w:val="00D05A46"/>
    <w:rsid w:val="00D07FF7"/>
    <w:rsid w:val="00D10843"/>
    <w:rsid w:val="00D11ECA"/>
    <w:rsid w:val="00D12C20"/>
    <w:rsid w:val="00D13234"/>
    <w:rsid w:val="00D14549"/>
    <w:rsid w:val="00D149E2"/>
    <w:rsid w:val="00D155B8"/>
    <w:rsid w:val="00D20D67"/>
    <w:rsid w:val="00D2256F"/>
    <w:rsid w:val="00D27364"/>
    <w:rsid w:val="00D27D15"/>
    <w:rsid w:val="00D30ADD"/>
    <w:rsid w:val="00D31774"/>
    <w:rsid w:val="00D31958"/>
    <w:rsid w:val="00D34C75"/>
    <w:rsid w:val="00D35187"/>
    <w:rsid w:val="00D37128"/>
    <w:rsid w:val="00D43A0D"/>
    <w:rsid w:val="00D460D3"/>
    <w:rsid w:val="00D46867"/>
    <w:rsid w:val="00D46D6B"/>
    <w:rsid w:val="00D47768"/>
    <w:rsid w:val="00D515F8"/>
    <w:rsid w:val="00D51B6B"/>
    <w:rsid w:val="00D55190"/>
    <w:rsid w:val="00D56BCB"/>
    <w:rsid w:val="00D57867"/>
    <w:rsid w:val="00D6132D"/>
    <w:rsid w:val="00D63010"/>
    <w:rsid w:val="00D63985"/>
    <w:rsid w:val="00D661A0"/>
    <w:rsid w:val="00D67E6A"/>
    <w:rsid w:val="00D71E1C"/>
    <w:rsid w:val="00D76B37"/>
    <w:rsid w:val="00D76D7B"/>
    <w:rsid w:val="00D77694"/>
    <w:rsid w:val="00D85286"/>
    <w:rsid w:val="00D866C2"/>
    <w:rsid w:val="00D900A8"/>
    <w:rsid w:val="00D918A8"/>
    <w:rsid w:val="00D91A4B"/>
    <w:rsid w:val="00D92244"/>
    <w:rsid w:val="00D9592A"/>
    <w:rsid w:val="00DA27EA"/>
    <w:rsid w:val="00DA410B"/>
    <w:rsid w:val="00DA42CC"/>
    <w:rsid w:val="00DB12BF"/>
    <w:rsid w:val="00DB2D42"/>
    <w:rsid w:val="00DB3F80"/>
    <w:rsid w:val="00DC1206"/>
    <w:rsid w:val="00DC6025"/>
    <w:rsid w:val="00DC661D"/>
    <w:rsid w:val="00DC6760"/>
    <w:rsid w:val="00DC733E"/>
    <w:rsid w:val="00DD14C2"/>
    <w:rsid w:val="00DD7140"/>
    <w:rsid w:val="00DD7DD3"/>
    <w:rsid w:val="00DE02A7"/>
    <w:rsid w:val="00DE1ADF"/>
    <w:rsid w:val="00DE4454"/>
    <w:rsid w:val="00DE6581"/>
    <w:rsid w:val="00DE7A01"/>
    <w:rsid w:val="00DF0F73"/>
    <w:rsid w:val="00DF4071"/>
    <w:rsid w:val="00DF57BE"/>
    <w:rsid w:val="00DF7A6C"/>
    <w:rsid w:val="00E000D2"/>
    <w:rsid w:val="00E0064A"/>
    <w:rsid w:val="00E019E8"/>
    <w:rsid w:val="00E05DE7"/>
    <w:rsid w:val="00E06500"/>
    <w:rsid w:val="00E06A06"/>
    <w:rsid w:val="00E12AE9"/>
    <w:rsid w:val="00E149FD"/>
    <w:rsid w:val="00E17BF9"/>
    <w:rsid w:val="00E17D0B"/>
    <w:rsid w:val="00E22661"/>
    <w:rsid w:val="00E24246"/>
    <w:rsid w:val="00E3035E"/>
    <w:rsid w:val="00E31302"/>
    <w:rsid w:val="00E31FB0"/>
    <w:rsid w:val="00E3282C"/>
    <w:rsid w:val="00E32DD3"/>
    <w:rsid w:val="00E36336"/>
    <w:rsid w:val="00E374FD"/>
    <w:rsid w:val="00E4259A"/>
    <w:rsid w:val="00E43298"/>
    <w:rsid w:val="00E43D43"/>
    <w:rsid w:val="00E476B1"/>
    <w:rsid w:val="00E51130"/>
    <w:rsid w:val="00E51226"/>
    <w:rsid w:val="00E533EB"/>
    <w:rsid w:val="00E53B95"/>
    <w:rsid w:val="00E55415"/>
    <w:rsid w:val="00E56C23"/>
    <w:rsid w:val="00E56FB6"/>
    <w:rsid w:val="00E57060"/>
    <w:rsid w:val="00E6213C"/>
    <w:rsid w:val="00E62DC0"/>
    <w:rsid w:val="00E674A5"/>
    <w:rsid w:val="00E67B44"/>
    <w:rsid w:val="00E73EAE"/>
    <w:rsid w:val="00E77199"/>
    <w:rsid w:val="00E810CB"/>
    <w:rsid w:val="00E82DB1"/>
    <w:rsid w:val="00E836B7"/>
    <w:rsid w:val="00E84263"/>
    <w:rsid w:val="00E84445"/>
    <w:rsid w:val="00E87616"/>
    <w:rsid w:val="00E87A23"/>
    <w:rsid w:val="00E92661"/>
    <w:rsid w:val="00E926C9"/>
    <w:rsid w:val="00E926E3"/>
    <w:rsid w:val="00E931BB"/>
    <w:rsid w:val="00E94A12"/>
    <w:rsid w:val="00E96313"/>
    <w:rsid w:val="00E9731C"/>
    <w:rsid w:val="00EA021B"/>
    <w:rsid w:val="00EA1DBE"/>
    <w:rsid w:val="00EA2A51"/>
    <w:rsid w:val="00EA2D2B"/>
    <w:rsid w:val="00EA5C16"/>
    <w:rsid w:val="00EA694E"/>
    <w:rsid w:val="00EB78FA"/>
    <w:rsid w:val="00EC159E"/>
    <w:rsid w:val="00EC68EE"/>
    <w:rsid w:val="00ED1A1E"/>
    <w:rsid w:val="00ED4785"/>
    <w:rsid w:val="00EE009E"/>
    <w:rsid w:val="00EE02A8"/>
    <w:rsid w:val="00EE1D54"/>
    <w:rsid w:val="00EE2971"/>
    <w:rsid w:val="00EE3161"/>
    <w:rsid w:val="00EE5AFB"/>
    <w:rsid w:val="00EE6051"/>
    <w:rsid w:val="00EE7172"/>
    <w:rsid w:val="00EF000D"/>
    <w:rsid w:val="00EF28CF"/>
    <w:rsid w:val="00EF3234"/>
    <w:rsid w:val="00EF4371"/>
    <w:rsid w:val="00EF7097"/>
    <w:rsid w:val="00F02001"/>
    <w:rsid w:val="00F03039"/>
    <w:rsid w:val="00F04240"/>
    <w:rsid w:val="00F0554E"/>
    <w:rsid w:val="00F117CA"/>
    <w:rsid w:val="00F12550"/>
    <w:rsid w:val="00F1786D"/>
    <w:rsid w:val="00F20854"/>
    <w:rsid w:val="00F231CD"/>
    <w:rsid w:val="00F27AC4"/>
    <w:rsid w:val="00F30C7F"/>
    <w:rsid w:val="00F31E3C"/>
    <w:rsid w:val="00F32748"/>
    <w:rsid w:val="00F328C0"/>
    <w:rsid w:val="00F332D8"/>
    <w:rsid w:val="00F34941"/>
    <w:rsid w:val="00F3645A"/>
    <w:rsid w:val="00F404DD"/>
    <w:rsid w:val="00F43D38"/>
    <w:rsid w:val="00F47631"/>
    <w:rsid w:val="00F50807"/>
    <w:rsid w:val="00F514DF"/>
    <w:rsid w:val="00F545A3"/>
    <w:rsid w:val="00F54E3B"/>
    <w:rsid w:val="00F56AD8"/>
    <w:rsid w:val="00F56D3B"/>
    <w:rsid w:val="00F56FE0"/>
    <w:rsid w:val="00F57027"/>
    <w:rsid w:val="00F60499"/>
    <w:rsid w:val="00F6060B"/>
    <w:rsid w:val="00F644EF"/>
    <w:rsid w:val="00F67CB6"/>
    <w:rsid w:val="00F70317"/>
    <w:rsid w:val="00F70C26"/>
    <w:rsid w:val="00F7129B"/>
    <w:rsid w:val="00F737F0"/>
    <w:rsid w:val="00F738CE"/>
    <w:rsid w:val="00F73AFC"/>
    <w:rsid w:val="00F7557C"/>
    <w:rsid w:val="00F762EC"/>
    <w:rsid w:val="00F82B49"/>
    <w:rsid w:val="00F83BE5"/>
    <w:rsid w:val="00F90D89"/>
    <w:rsid w:val="00F926AC"/>
    <w:rsid w:val="00FA03C5"/>
    <w:rsid w:val="00FA23B8"/>
    <w:rsid w:val="00FB0073"/>
    <w:rsid w:val="00FB02AD"/>
    <w:rsid w:val="00FB1FD1"/>
    <w:rsid w:val="00FB4B9B"/>
    <w:rsid w:val="00FB5706"/>
    <w:rsid w:val="00FB6BF5"/>
    <w:rsid w:val="00FB7E05"/>
    <w:rsid w:val="00FC0679"/>
    <w:rsid w:val="00FC3535"/>
    <w:rsid w:val="00FC3791"/>
    <w:rsid w:val="00FC7D9D"/>
    <w:rsid w:val="00FD0B81"/>
    <w:rsid w:val="00FE0975"/>
    <w:rsid w:val="00FE2027"/>
    <w:rsid w:val="00FE2A20"/>
    <w:rsid w:val="00FE312F"/>
    <w:rsid w:val="00FE4AB9"/>
    <w:rsid w:val="00FE4DF2"/>
    <w:rsid w:val="00FE7BE2"/>
    <w:rsid w:val="00FF1254"/>
    <w:rsid w:val="00FF3199"/>
    <w:rsid w:val="00FF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B751E53"/>
  <w15:docId w15:val="{319A9699-20B8-40D2-BE9B-89EDEF76F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2A241C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A1C92"/>
    <w:pPr>
      <w:keepNext/>
      <w:spacing w:before="160" w:after="160" w:line="276" w:lineRule="auto"/>
      <w:jc w:val="center"/>
      <w:outlineLvl w:val="0"/>
    </w:pPr>
    <w:rPr>
      <w:rFonts w:ascii="Calibri" w:hAnsi="Calibri"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12C1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18125E"/>
    <w:rPr>
      <w:vertAlign w:val="superscript"/>
    </w:rPr>
  </w:style>
  <w:style w:type="paragraph" w:styleId="Tekstpodstawowy">
    <w:name w:val="Body Text"/>
    <w:basedOn w:val="Normalny"/>
    <w:link w:val="TekstpodstawowyZnak"/>
    <w:rsid w:val="0018125E"/>
    <w:pPr>
      <w:jc w:val="both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18125E"/>
    <w:rPr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rsid w:val="00F70317"/>
    <w:rPr>
      <w:rFonts w:ascii="Calibri" w:hAnsi="Calibri"/>
      <w:sz w:val="18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F70317"/>
    <w:rPr>
      <w:rFonts w:ascii="Calibri" w:hAnsi="Calibri"/>
      <w:sz w:val="18"/>
    </w:rPr>
  </w:style>
  <w:style w:type="character" w:styleId="Odwoaniedokomentarza">
    <w:name w:val="annotation reference"/>
    <w:uiPriority w:val="99"/>
    <w:rsid w:val="0046320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95A0E"/>
    <w:rPr>
      <w:rFonts w:ascii="Calibri" w:hAnsi="Calibri"/>
      <w:sz w:val="18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95A0E"/>
    <w:rPr>
      <w:rFonts w:ascii="Calibri" w:hAnsi="Calibri"/>
      <w:sz w:val="18"/>
    </w:rPr>
  </w:style>
  <w:style w:type="paragraph" w:styleId="Tekstdymka">
    <w:name w:val="Balloon Text"/>
    <w:basedOn w:val="Normalny"/>
    <w:link w:val="TekstdymkaZnak"/>
    <w:rsid w:val="004632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6320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1"/>
    <w:qFormat/>
    <w:rsid w:val="00463207"/>
    <w:pPr>
      <w:ind w:left="720"/>
      <w:contextualSpacing/>
    </w:pPr>
  </w:style>
  <w:style w:type="character" w:styleId="Hipercze">
    <w:name w:val="Hyperlink"/>
    <w:rsid w:val="00D866C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BE1EE1"/>
    <w:rPr>
      <w:rFonts w:ascii="Times New Roman" w:hAnsi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E1EE1"/>
  </w:style>
  <w:style w:type="paragraph" w:customStyle="1" w:styleId="Pisma">
    <w:name w:val="Pisma"/>
    <w:basedOn w:val="Normalny"/>
    <w:rsid w:val="00BE1EE1"/>
    <w:pPr>
      <w:autoSpaceDE w:val="0"/>
      <w:autoSpaceDN w:val="0"/>
      <w:jc w:val="both"/>
    </w:pPr>
    <w:rPr>
      <w:rFonts w:ascii="Times New Roman" w:hAnsi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C4648C"/>
    <w:rPr>
      <w:rFonts w:ascii="Arial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4648C"/>
    <w:rPr>
      <w:rFonts w:ascii="Arial" w:hAnsi="Arial"/>
      <w:b/>
      <w:bCs/>
      <w:sz w:val="18"/>
    </w:rPr>
  </w:style>
  <w:style w:type="paragraph" w:customStyle="1" w:styleId="Applicationdirecte">
    <w:name w:val="Application directe"/>
    <w:basedOn w:val="Normalny"/>
    <w:next w:val="Normalny"/>
    <w:rsid w:val="008D0627"/>
    <w:pPr>
      <w:spacing w:before="480" w:after="120"/>
      <w:jc w:val="both"/>
    </w:pPr>
    <w:rPr>
      <w:rFonts w:ascii="Times New Roman" w:hAnsi="Times New Roman"/>
      <w:lang w:val="en-GB"/>
    </w:rPr>
  </w:style>
  <w:style w:type="character" w:customStyle="1" w:styleId="Nagwek1Znak">
    <w:name w:val="Nagłówek 1 Znak"/>
    <w:basedOn w:val="Domylnaczcionkaakapitu"/>
    <w:link w:val="Nagwek1"/>
    <w:rsid w:val="007A1C92"/>
    <w:rPr>
      <w:rFonts w:ascii="Calibri" w:hAnsi="Calibri"/>
      <w:bCs/>
      <w:sz w:val="22"/>
      <w:szCs w:val="22"/>
    </w:rPr>
  </w:style>
  <w:style w:type="paragraph" w:styleId="Poprawka">
    <w:name w:val="Revision"/>
    <w:hidden/>
    <w:uiPriority w:val="99"/>
    <w:semiHidden/>
    <w:rsid w:val="000821C8"/>
    <w:rPr>
      <w:rFonts w:ascii="Arial" w:hAnsi="Arial"/>
      <w:sz w:val="24"/>
      <w:szCs w:val="24"/>
    </w:rPr>
  </w:style>
  <w:style w:type="table" w:styleId="Tabela-Siatka">
    <w:name w:val="Table Grid"/>
    <w:basedOn w:val="Standardowy"/>
    <w:rsid w:val="000B7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5D0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74997"/>
    <w:rPr>
      <w:color w:val="808080"/>
    </w:rPr>
  </w:style>
  <w:style w:type="paragraph" w:customStyle="1" w:styleId="ZnakZnak">
    <w:name w:val="Znak Znak"/>
    <w:basedOn w:val="Normalny"/>
    <w:rsid w:val="00087B41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Tekstpodstawowy3">
    <w:name w:val="Body Text 3"/>
    <w:basedOn w:val="Normalny"/>
    <w:link w:val="Tekstpodstawowy3Znak"/>
    <w:rsid w:val="002B0A52"/>
    <w:pPr>
      <w:spacing w:after="120" w:line="360" w:lineRule="auto"/>
      <w:jc w:val="both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B0A52"/>
    <w:rPr>
      <w:sz w:val="16"/>
      <w:szCs w:val="16"/>
    </w:rPr>
  </w:style>
  <w:style w:type="character" w:styleId="UyteHipercze">
    <w:name w:val="FollowedHyperlink"/>
    <w:basedOn w:val="Domylnaczcionkaakapitu"/>
    <w:semiHidden/>
    <w:unhideWhenUsed/>
    <w:rsid w:val="004D6B21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812C1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12CAB"/>
    <w:pPr>
      <w:spacing w:before="100" w:beforeAutospacing="1" w:after="119"/>
    </w:pPr>
    <w:rPr>
      <w:rFonts w:ascii="Times New Roman" w:hAnsi="Times New Roman"/>
    </w:rPr>
  </w:style>
  <w:style w:type="paragraph" w:styleId="Bezodstpw">
    <w:name w:val="No Spacing"/>
    <w:uiPriority w:val="1"/>
    <w:qFormat/>
    <w:rsid w:val="008720EB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8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owalik\Desktop\organizacyjne\korespondencja%20urz&#281;dowa\przygotowane%20listowniki\kolor_RP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A059D-1939-4C12-B26B-A051907007EC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6818BE87-1DE1-4CE5-AD0E-33253FD96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kolor_RPO</Template>
  <TotalTime>0</TotalTime>
  <Pages>3</Pages>
  <Words>764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.../.../... ZWP z dn. 27.07.2023 r.</vt:lpstr>
    </vt:vector>
  </TitlesOfParts>
  <Company>UMWP</Company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888/469/23 ZWP z dn. 27.07.2023 r.</dc:title>
  <dc:subject>Regulamin wyboru projektów - nabór dla Dz. 6.10. - Załącznik nr 8.5</dc:subject>
  <dc:creator>Marek Kowalik</dc:creator>
  <cp:keywords>uchwała ZWP; regulamin wyboru projektów</cp:keywords>
  <cp:lastModifiedBy>Mróz Agata</cp:lastModifiedBy>
  <cp:revision>2</cp:revision>
  <cp:lastPrinted>2019-02-22T10:45:00Z</cp:lastPrinted>
  <dcterms:created xsi:type="dcterms:W3CDTF">2023-07-27T10:20:00Z</dcterms:created>
  <dcterms:modified xsi:type="dcterms:W3CDTF">2023-07-27T10:20:00Z</dcterms:modified>
</cp:coreProperties>
</file>