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50" w:rsidRPr="001A0C4C" w:rsidRDefault="00973050" w:rsidP="00973050">
      <w:pPr>
        <w:rPr>
          <w:rFonts w:asciiTheme="minorHAnsi" w:hAnsiTheme="minorHAnsi" w:cstheme="minorHAnsi"/>
          <w:szCs w:val="28"/>
        </w:rPr>
      </w:pPr>
      <w:bookmarkStart w:id="0" w:name="_Toc53578004"/>
      <w:bookmarkStart w:id="1" w:name="_Toc53577686"/>
      <w:r w:rsidRPr="001A0C4C">
        <w:rPr>
          <w:rFonts w:asciiTheme="minorHAnsi" w:hAnsiTheme="minorHAnsi" w:cstheme="minorHAnsi"/>
          <w:szCs w:val="28"/>
        </w:rPr>
        <w:t xml:space="preserve">Załącznik nr </w:t>
      </w:r>
      <w:bookmarkEnd w:id="0"/>
      <w:bookmarkEnd w:id="1"/>
      <w:r w:rsidRPr="001A0C4C">
        <w:rPr>
          <w:rFonts w:asciiTheme="minorHAnsi" w:hAnsiTheme="minorHAnsi" w:cstheme="minorHAnsi"/>
          <w:szCs w:val="28"/>
        </w:rPr>
        <w:t>29 do Regulaminu wyboru projektów</w:t>
      </w:r>
    </w:p>
    <w:p w:rsidR="00973050" w:rsidRPr="00F9022A" w:rsidRDefault="00973050" w:rsidP="00973050">
      <w:pPr>
        <w:pStyle w:val="Nagwek1"/>
      </w:pPr>
      <w:r w:rsidRPr="00547E58">
        <w:tab/>
      </w:r>
      <w:r w:rsidRPr="00F9022A">
        <w:t>Taryfikator towarów i usług</w:t>
      </w:r>
    </w:p>
    <w:p w:rsidR="00973050" w:rsidRPr="004A75E4" w:rsidRDefault="00973050" w:rsidP="00973050">
      <w:pPr>
        <w:spacing w:after="240"/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 xml:space="preserve">Poniższy katalog </w:t>
      </w:r>
      <w:r w:rsidRPr="004A75E4">
        <w:rPr>
          <w:rFonts w:asciiTheme="minorHAnsi" w:hAnsiTheme="minorHAnsi" w:cstheme="minorHAnsi"/>
          <w:b/>
        </w:rPr>
        <w:t>nie jest</w:t>
      </w:r>
      <w:r w:rsidRPr="004A75E4">
        <w:rPr>
          <w:rFonts w:asciiTheme="minorHAnsi" w:hAnsiTheme="minorHAnsi" w:cstheme="minorHAnsi"/>
        </w:rPr>
        <w:t xml:space="preserve"> </w:t>
      </w:r>
      <w:r w:rsidRPr="004A75E4">
        <w:rPr>
          <w:rFonts w:asciiTheme="minorHAnsi" w:hAnsiTheme="minorHAnsi" w:cstheme="minorHAnsi"/>
          <w:b/>
        </w:rPr>
        <w:t>katalogiem zamkniętym</w:t>
      </w:r>
      <w:r w:rsidRPr="004A75E4">
        <w:rPr>
          <w:rFonts w:asciiTheme="minorHAnsi" w:hAnsiTheme="minorHAnsi" w:cstheme="minorHAnsi"/>
        </w:rPr>
        <w:t xml:space="preserve"> i inne koszty związane z realizacją projektu w ramach FEP, które nie zostały w nim ujęte powinny być zgodne z cenami rynkowymi oraz spełniać zasady określone w Wytycznych dotyczących kwalifikowalności wydatków na lata 2021-2027. </w:t>
      </w:r>
    </w:p>
    <w:p w:rsidR="00973050" w:rsidRPr="004A75E4" w:rsidRDefault="00973050" w:rsidP="00973050">
      <w:pPr>
        <w:rPr>
          <w:rFonts w:asciiTheme="minorHAnsi" w:hAnsiTheme="minorHAnsi" w:cstheme="minorHAnsi"/>
          <w:b/>
          <w:szCs w:val="28"/>
        </w:rPr>
      </w:pPr>
      <w:r w:rsidRPr="004A75E4">
        <w:rPr>
          <w:rFonts w:asciiTheme="minorHAnsi" w:hAnsiTheme="minorHAnsi" w:cstheme="minorHAnsi"/>
        </w:rPr>
        <w:t xml:space="preserve">Stawki przedstawione w taryfikatorze należy traktować jako maksymalne. </w:t>
      </w:r>
      <w:r w:rsidRPr="004A75E4">
        <w:rPr>
          <w:rFonts w:asciiTheme="minorHAnsi" w:hAnsiTheme="minorHAnsi" w:cstheme="minorHAnsi"/>
          <w:b/>
          <w:szCs w:val="28"/>
        </w:rPr>
        <w:t xml:space="preserve">W przypadku założenia w budżecie projektu stawek wyższych, we wniosku o dofinansowanie w części </w:t>
      </w:r>
      <w:r w:rsidRPr="004A75E4">
        <w:rPr>
          <w:rFonts w:asciiTheme="minorHAnsi" w:hAnsiTheme="minorHAnsi" w:cstheme="minorHAnsi"/>
          <w:b/>
          <w:spacing w:val="30"/>
          <w:szCs w:val="28"/>
        </w:rPr>
        <w:t>Uzasadnienie wydatków</w:t>
      </w:r>
      <w:r w:rsidRPr="004A75E4">
        <w:rPr>
          <w:rFonts w:asciiTheme="minorHAnsi" w:hAnsiTheme="minorHAnsi" w:cstheme="minorHAnsi"/>
          <w:b/>
          <w:szCs w:val="28"/>
        </w:rPr>
        <w:t xml:space="preserve"> należy wyjaśnić powód odstępstwa od stawek określonych w taryfikatorze. </w:t>
      </w:r>
    </w:p>
    <w:p w:rsidR="00973050" w:rsidRPr="004A75E4" w:rsidRDefault="00973050" w:rsidP="00973050">
      <w:pPr>
        <w:spacing w:after="240"/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>W przypadku, gdy Wnioskodawca/Beneficjent zatrudnia w swojej instytucji osoby na</w:t>
      </w:r>
      <w:r>
        <w:rPr>
          <w:rFonts w:asciiTheme="minorHAnsi" w:hAnsiTheme="minorHAnsi" w:cstheme="minorHAnsi"/>
        </w:rPr>
        <w:t> </w:t>
      </w:r>
      <w:r w:rsidRPr="004A75E4">
        <w:rPr>
          <w:rFonts w:asciiTheme="minorHAnsi" w:hAnsiTheme="minorHAnsi" w:cstheme="minorHAnsi"/>
        </w:rPr>
        <w:t>analogicznych stanowiskach, należy każdorazowo stosować stawkę zgodną z przyjętym Regulaminem wynagradzania.</w:t>
      </w:r>
    </w:p>
    <w:p w:rsidR="00973050" w:rsidRPr="004A75E4" w:rsidRDefault="00973050" w:rsidP="00973050">
      <w:pPr>
        <w:spacing w:after="240"/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 xml:space="preserve">Podczas analizy poziomu zaplanowanych w budżecie stawek weryfikacji podlegają przede wszystkim takie aspekty jak: cel projektu, wielkość/wartość projektu, wielkość grupy docelowej, złożoność zadań zaplanowanych do realizacji czy czasowe zaangażowanie personelu projektu. </w:t>
      </w:r>
    </w:p>
    <w:p w:rsidR="00973050" w:rsidRPr="004A75E4" w:rsidRDefault="00973050" w:rsidP="00973050">
      <w:pPr>
        <w:spacing w:after="240"/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>Ceny ujęte w tabelach są cenami brutto (</w:t>
      </w:r>
      <w:r w:rsidRPr="004A75E4">
        <w:rPr>
          <w:rFonts w:asciiTheme="minorHAnsi" w:hAnsiTheme="minorHAnsi" w:cstheme="minorHAnsi"/>
          <w:b/>
        </w:rPr>
        <w:t>w przypadku wynagrodzeń stawki uwzględniają składki pracodawcy</w:t>
      </w:r>
      <w:r w:rsidRPr="004A75E4">
        <w:rPr>
          <w:rFonts w:asciiTheme="minorHAnsi" w:hAnsiTheme="minorHAnsi" w:cstheme="minorHAnsi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:rsidR="00973050" w:rsidRPr="004A75E4" w:rsidRDefault="00973050" w:rsidP="00973050">
      <w:pPr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 xml:space="preserve">Przy zatrudnieniu pracownika na umowę o pracę (np. ½ etatu w okresie roku) wynagrodzenie nie może wynikać z przemnożenia liczby przepracowanych godzin i podanego w zestawieniu kosztu, ponieważ prowadzić to będzie do nieuzasadnionego zawyżenia poziomu wynagrodzeń. </w:t>
      </w:r>
    </w:p>
    <w:p w:rsidR="00973050" w:rsidRPr="008210DA" w:rsidRDefault="00973050" w:rsidP="00973050">
      <w:pPr>
        <w:rPr>
          <w:rFonts w:asciiTheme="minorHAnsi" w:hAnsiTheme="minorHAnsi" w:cstheme="minorHAnsi"/>
        </w:rPr>
      </w:pPr>
      <w:r w:rsidRPr="004A75E4">
        <w:rPr>
          <w:rFonts w:asciiTheme="minorHAnsi" w:hAnsiTheme="minorHAnsi" w:cstheme="minorHAnsi"/>
        </w:rPr>
        <w:t>Na etapie realizacji projektu, możliwe jest zakupienie towaru lub usługi w cenie innej niż wskazana w szczegółowym budżecie projektu, o ile jest to cena rynkowa potwierdzona w</w:t>
      </w:r>
      <w:r>
        <w:rPr>
          <w:rFonts w:asciiTheme="minorHAnsi" w:hAnsiTheme="minorHAnsi" w:cstheme="minorHAnsi"/>
        </w:rPr>
        <w:t> </w:t>
      </w:r>
      <w:r w:rsidRPr="004A75E4">
        <w:rPr>
          <w:rFonts w:asciiTheme="minorHAnsi" w:hAnsiTheme="minorHAnsi" w:cstheme="minorHAnsi"/>
        </w:rPr>
        <w:t xml:space="preserve">wyniku przeprowadzonego w projekcie postępowania o udzielenie zamówienia lub postępowania konkurencyjnego przeprowadzonego na podstawie ustawy PZP lub zasady konkurencyjności, a procedura ta została przeprowadzona w sposób prawidłowy. </w:t>
      </w:r>
      <w:bookmarkStart w:id="2" w:name="_GoBack"/>
      <w:bookmarkEnd w:id="2"/>
      <w:r w:rsidRPr="004A75E4">
        <w:rPr>
          <w:rFonts w:asciiTheme="minorHAnsi" w:hAnsiTheme="minorHAnsi" w:cstheme="minorHAnsi"/>
        </w:rPr>
        <w:t>Każdorazowe zwiększenie stawek założonych w budżecie zatwierdzonego wniosku o</w:t>
      </w:r>
      <w:r>
        <w:rPr>
          <w:rFonts w:asciiTheme="minorHAnsi" w:hAnsiTheme="minorHAnsi" w:cstheme="minorHAnsi"/>
        </w:rPr>
        <w:t> </w:t>
      </w:r>
      <w:r w:rsidRPr="004A75E4">
        <w:rPr>
          <w:rFonts w:asciiTheme="minorHAnsi" w:hAnsiTheme="minorHAnsi" w:cstheme="minorHAnsi"/>
        </w:rPr>
        <w:t xml:space="preserve">dofinansowanie wymaga wyjaśnień ze strony Wnioskodawcy/Beneficjenta i akceptacji </w:t>
      </w:r>
      <w:r>
        <w:rPr>
          <w:rFonts w:asciiTheme="minorHAnsi" w:hAnsiTheme="minorHAnsi" w:cstheme="minorHAnsi"/>
        </w:rPr>
        <w:t>IZ </w:t>
      </w:r>
      <w:r w:rsidRPr="004A75E4">
        <w:rPr>
          <w:rFonts w:asciiTheme="minorHAnsi" w:hAnsiTheme="minorHAnsi" w:cstheme="minorHAnsi"/>
        </w:rPr>
        <w:t>FEP.</w:t>
      </w:r>
    </w:p>
    <w:p w:rsidR="00973050" w:rsidRPr="00A9627D" w:rsidRDefault="00973050" w:rsidP="00973050">
      <w:pPr>
        <w:pStyle w:val="Nagwek2"/>
      </w:pPr>
      <w:r w:rsidRPr="008664CC">
        <w:lastRenderedPageBreak/>
        <w:t>Wykaz wynagrodzeń dla personelu w zadaniach merytorycznych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973050" w:rsidRPr="00274477" w:rsidTr="00995188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973050" w:rsidRPr="00AF741E" w:rsidRDefault="00973050" w:rsidP="00995188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973050" w:rsidRPr="00AF741E" w:rsidRDefault="00973050" w:rsidP="00995188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Maksymalna cena </w:t>
            </w: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:rsidR="00973050" w:rsidRPr="00AF741E" w:rsidRDefault="00973050" w:rsidP="0099518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t>Jednostka miary</w:t>
            </w:r>
          </w:p>
          <w:p w:rsidR="00973050" w:rsidRPr="00AF741E" w:rsidRDefault="00973050" w:rsidP="0099518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t>(etat / godz.</w:t>
            </w:r>
            <w:r w:rsidRPr="00AF741E">
              <w:rPr>
                <w:rStyle w:val="Odwoanieprzypisudolnego"/>
                <w:rFonts w:ascii="Calibri" w:eastAsiaTheme="minorHAnsi" w:hAnsi="Calibri" w:cs="Calibri"/>
                <w:b/>
                <w:bCs/>
                <w:color w:val="FFFFFF" w:themeColor="background1"/>
              </w:rPr>
              <w:footnoteReference w:id="1"/>
            </w:r>
            <w:r w:rsidRPr="00AF741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)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 w:rsidRPr="00AF741E">
              <w:rPr>
                <w:rFonts w:ascii="Calibri" w:hAnsi="Calibri" w:cs="Calibri"/>
                <w:bCs/>
                <w:color w:val="000000" w:themeColor="text1"/>
              </w:rPr>
              <w:t>Coach</w:t>
            </w:r>
            <w:proofErr w:type="spellEnd"/>
            <w:r w:rsidRPr="00AF741E">
              <w:rPr>
                <w:rFonts w:ascii="Calibri" w:hAnsi="Calibri" w:cs="Calibri"/>
                <w:bCs/>
                <w:color w:val="000000" w:themeColor="text1"/>
              </w:rPr>
              <w:t>/ trener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 xml:space="preserve">Psycholog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Terapeuta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Poradnictwo prawne (usługi świadczone dla uczestników projektu)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/>
              </w:rPr>
              <w:t>Doradca zawodowy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Animator społeczny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70,00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FF0000"/>
              </w:rPr>
            </w:pPr>
            <w:r w:rsidRPr="00AF741E">
              <w:rPr>
                <w:rFonts w:ascii="Calibri" w:hAnsi="Calibri" w:cs="Calibri"/>
                <w:bCs/>
                <w:color w:val="000000" w:themeColor="text1"/>
              </w:rPr>
              <w:t>Poradnictwo specjalistyczne, rodzinne (usługi świadczone dla uczestników projektu np. pedagog, logopeda, dietetyk, mediator)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FF0000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FF0000"/>
                <w:vertAlign w:val="superscript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Superwizor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52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Asystent rodziny</w:t>
            </w:r>
          </w:p>
        </w:tc>
        <w:tc>
          <w:tcPr>
            <w:tcW w:w="468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/>
              </w:rPr>
              <w:t>Zgodnie z Rozporządzeniem Rady Ministrów w sprawie wynagradzania pracowników samorządowych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Koordynator/ organizator rodzinnej pieczy zastępczej</w:t>
            </w:r>
          </w:p>
        </w:tc>
        <w:tc>
          <w:tcPr>
            <w:tcW w:w="4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Wychowawca/Kierownik w placówce wsparcia dziennego</w:t>
            </w:r>
          </w:p>
        </w:tc>
        <w:tc>
          <w:tcPr>
            <w:tcW w:w="468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AF741E">
              <w:rPr>
                <w:rFonts w:ascii="Calibri" w:hAnsi="Calibri" w:cs="Calibri"/>
              </w:rPr>
              <w:t>Asystent osoby niepełnosprawnej/ Asystent osobisty osoby niepełnosprawnej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100,00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Fizjoterapeuta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AF741E">
              <w:rPr>
                <w:rFonts w:ascii="Calibri" w:hAnsi="Calibri" w:cs="Calibri"/>
                <w:bCs/>
                <w:color w:val="000000"/>
              </w:rPr>
              <w:t>Opiekun osób starszych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6 200,00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etat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AF741E">
              <w:rPr>
                <w:rFonts w:ascii="Calibri" w:hAnsi="Calibri" w:cs="Calibri"/>
              </w:rPr>
              <w:lastRenderedPageBreak/>
              <w:t>Wynagrodzenie za przeprowadzenie szkoleń zawodowych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pStyle w:val="Default"/>
              <w:jc w:val="both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bCs/>
              </w:rPr>
              <w:t>Pośrednik pracy / Trener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497"/>
              <w:jc w:val="right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6 200,00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777"/>
              <w:rPr>
                <w:rFonts w:ascii="Calibri" w:hAnsi="Calibri" w:cs="Calibri"/>
                <w:color w:val="000000" w:themeColor="text1"/>
              </w:rPr>
            </w:pPr>
            <w:r w:rsidRPr="00AF741E">
              <w:rPr>
                <w:rFonts w:ascii="Calibri" w:hAnsi="Calibri" w:cs="Calibri"/>
                <w:color w:val="000000" w:themeColor="text1"/>
              </w:rPr>
              <w:t>etat</w:t>
            </w:r>
          </w:p>
        </w:tc>
      </w:tr>
    </w:tbl>
    <w:p w:rsidR="00973050" w:rsidRPr="00274477" w:rsidRDefault="00973050" w:rsidP="00973050">
      <w:pPr>
        <w:pStyle w:val="Nagwek2"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t>Wykaz sprzętu i mebli niezbędnych do zadań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973050" w:rsidRPr="00274477" w:rsidTr="00995188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bookmarkStart w:id="3" w:name="_Hlk141181045"/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miary,</w:t>
            </w:r>
          </w:p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(szt. / zestaw)</w:t>
            </w:r>
          </w:p>
        </w:tc>
      </w:tr>
      <w:bookmarkEnd w:id="3"/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Laptop/zestaw komputerowy + oprogramowanie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Rzutnik multimedialny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2 500,00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Ekran projekcyjny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800,00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Drukarka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1 700,00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Urządzenie wielofunkcyjne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4 600,00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973050" w:rsidRPr="00274477" w:rsidTr="00995188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Biurko + krzesło</w:t>
            </w:r>
            <w:r w:rsidRPr="00274477">
              <w:rPr>
                <w:rStyle w:val="Odwoanieprzypisudolnego"/>
                <w:rFonts w:asciiTheme="minorHAnsi" w:eastAsiaTheme="minorHAnsi" w:hAnsiTheme="minorHAnsi" w:cstheme="minorHAnsi"/>
                <w:color w:val="000000" w:themeColor="text1"/>
                <w:szCs w:val="22"/>
              </w:rPr>
              <w:footnoteReference w:id="2"/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1000,00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zestaw</w:t>
            </w:r>
          </w:p>
        </w:tc>
      </w:tr>
    </w:tbl>
    <w:p w:rsidR="00973050" w:rsidRPr="00274477" w:rsidRDefault="00973050" w:rsidP="00973050">
      <w:pPr>
        <w:pStyle w:val="Nagwek2"/>
        <w:keepNext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lastRenderedPageBreak/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973050" w:rsidRPr="00274477" w:rsidTr="00995188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Jednostka miary</w:t>
            </w:r>
          </w:p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(uczestnik/ godz.</w:t>
            </w:r>
            <w:r w:rsidRPr="00274477">
              <w:rPr>
                <w:rStyle w:val="Odwoanieprzypisudolnego"/>
                <w:rFonts w:asciiTheme="minorHAnsi" w:eastAsiaTheme="minorHAnsi" w:hAnsiTheme="minorHAnsi" w:cstheme="minorHAnsi"/>
                <w:b/>
                <w:bCs/>
                <w:color w:val="FFFFFF" w:themeColor="background1"/>
              </w:rPr>
              <w:footnoteReference w:id="3"/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/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br/>
              <w:t>osoba / dzień szkoleniowy / pokój )</w:t>
            </w:r>
          </w:p>
        </w:tc>
      </w:tr>
      <w:tr w:rsidR="00973050" w:rsidRPr="00274477" w:rsidTr="00995188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Zestaw szkoleniowy (np. długopis, teczka, notes/zeszyt, pendrive) – zakup materiałów uzależniony od potrzeb i specyfiki szkoleniowej, warsztatowej, itp.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uczestnik</w:t>
            </w:r>
          </w:p>
        </w:tc>
      </w:tr>
      <w:tr w:rsidR="00973050" w:rsidRPr="00274477" w:rsidTr="00995188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  <w:highlight w:val="yellow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Wynajem </w:t>
            </w:r>
            <w:proofErr w:type="spellStart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sal</w:t>
            </w:r>
            <w:proofErr w:type="spellEnd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 szkoleniowych na spotkania merytoryczne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4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85,00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973050" w:rsidRPr="00274477" w:rsidTr="00995188">
        <w:trPr>
          <w:trHeight w:val="761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Wynajem sali na spotkanie indywidualne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5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973050" w:rsidRPr="00274477" w:rsidTr="00995188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Lunch/obiad/kolacja – wydatek kwalifikowalny, o ile wsparcie dla tej samej grupy osób w danym dniu trwa co najmniej 6 godz. lekcyjnych (tj. 6 x 45 minut) i nie jest przewidziany zimny bufet – w przypadku kolacji wydatek kwalifikowalny, o ile finansowana jest usługa noclegowa.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 szkoleniowy</w:t>
            </w:r>
          </w:p>
        </w:tc>
      </w:tr>
      <w:tr w:rsidR="00973050" w:rsidRPr="00274477" w:rsidTr="00995188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Przerwa kawowa (np. kawa, herbata, drobne słone lub słodkie przekąski)  dla min. 4 godz. lekcyjnych dla tej samej grupy osób w danym dniu)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274477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274477" w:rsidRDefault="00973050" w:rsidP="00995188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 szkoleniowy</w:t>
            </w:r>
          </w:p>
        </w:tc>
      </w:tr>
      <w:tr w:rsidR="00973050" w:rsidRPr="00274477" w:rsidTr="00995188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 xml:space="preserve">Catering/zimny bufet – wydatek kwalifikowalny, o ile forma wsparcia, w ramach której ma być świadczony zimny </w:t>
            </w:r>
            <w:r w:rsidRPr="00AF741E">
              <w:rPr>
                <w:rFonts w:asciiTheme="minorHAnsi" w:hAnsiTheme="minorHAnsi" w:cstheme="minorHAnsi"/>
                <w:color w:val="000000" w:themeColor="text1"/>
              </w:rPr>
              <w:lastRenderedPageBreak/>
              <w:t>bufet dla tej samej grupy osób w danym dniu trwa co najmniej 4 godziny lekcyjne (tj. 4 x 45 minut) i nie jest przewidziany lunch/obiad.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lastRenderedPageBreak/>
              <w:t>40,00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osoba/ dzień szkoleniowy</w:t>
            </w:r>
          </w:p>
        </w:tc>
      </w:tr>
      <w:tr w:rsidR="00973050" w:rsidRPr="00274477" w:rsidTr="00995188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050" w:rsidRPr="00AF741E" w:rsidRDefault="00973050" w:rsidP="0099518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</w:rPr>
              <w:t>Nocleg w kraju w pokoju 2-osobowym o standardzie 3*</w:t>
            </w:r>
            <w:r w:rsidRPr="00AF741E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6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050" w:rsidRPr="00AF741E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360,00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3050" w:rsidRPr="00AF741E" w:rsidRDefault="00973050" w:rsidP="00995188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pokój</w:t>
            </w:r>
          </w:p>
        </w:tc>
      </w:tr>
      <w:tr w:rsidR="00973050" w:rsidRPr="00274477" w:rsidTr="00995188">
        <w:trPr>
          <w:trHeight w:val="83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Opieka nad dzieckiem/ osobą zależną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60,00</w:t>
            </w:r>
            <w:r w:rsidRPr="00AF741E">
              <w:rPr>
                <w:rStyle w:val="Odwoanieprzypisudolnego"/>
                <w:rFonts w:asciiTheme="minorHAnsi" w:eastAsiaTheme="minorHAnsi" w:hAnsiTheme="minorHAnsi" w:cstheme="minorHAnsi"/>
                <w:color w:val="000000" w:themeColor="text1"/>
              </w:rPr>
              <w:footnoteReference w:id="7"/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godz.</w:t>
            </w:r>
          </w:p>
        </w:tc>
      </w:tr>
      <w:tr w:rsidR="00973050" w:rsidRPr="00274477" w:rsidTr="00995188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bCs/>
                <w:color w:val="000000" w:themeColor="text1"/>
              </w:rPr>
              <w:t>Zwrot kosztów dojazdu uczestników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050" w:rsidRPr="00AF741E" w:rsidRDefault="00973050" w:rsidP="00995188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>Zgodnie z cennikiem najtańszego przewoźnika obsługującego trasę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050" w:rsidRPr="00AF741E" w:rsidRDefault="00973050" w:rsidP="00995188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AF741E">
              <w:rPr>
                <w:rFonts w:asciiTheme="minorHAnsi" w:hAnsiTheme="minorHAnsi" w:cstheme="minorHAnsi"/>
                <w:color w:val="000000" w:themeColor="text1"/>
              </w:rPr>
              <w:t xml:space="preserve">Wydatek kwalifikowalny w związku z uzasadnionymi potrzebami grupy docelowej, jedynie w przypadku uczestniczenia we wsparciu oferowanym poza miejscem zamieszkania oraz w związku z uzasadnionymi potrzebami grupy docelowej (np. koszty dojazdów dla osób niepełnosprawnych, bezrobotnych). Zaleca się aby podróż odbywała się publicznymi/zbiorowymi środkami </w:t>
            </w:r>
            <w:r w:rsidRPr="00AF741E">
              <w:rPr>
                <w:rFonts w:asciiTheme="minorHAnsi" w:hAnsiTheme="minorHAnsi" w:cstheme="minorHAnsi"/>
                <w:color w:val="000000" w:themeColor="text1"/>
              </w:rPr>
              <w:lastRenderedPageBreak/>
              <w:t>transportu, z wyjątkiem gdy na danym terenie są uzasadnione powody dla innej formy podróży.</w:t>
            </w:r>
          </w:p>
        </w:tc>
      </w:tr>
    </w:tbl>
    <w:p w:rsidR="00973050" w:rsidRPr="00274477" w:rsidRDefault="00973050" w:rsidP="00973050">
      <w:pPr>
        <w:rPr>
          <w:rFonts w:asciiTheme="minorHAnsi" w:hAnsiTheme="minorHAnsi" w:cstheme="minorHAnsi"/>
          <w:szCs w:val="22"/>
        </w:rPr>
      </w:pPr>
    </w:p>
    <w:p w:rsidR="00D93707" w:rsidRPr="00973050" w:rsidRDefault="00D93707" w:rsidP="00973050"/>
    <w:sectPr w:rsidR="00D93707" w:rsidRPr="00973050" w:rsidSect="00C33F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  <w:footnote w:id="1">
    <w:p w:rsidR="00973050" w:rsidRDefault="00973050" w:rsidP="00973050">
      <w:pPr>
        <w:pStyle w:val="Tekstprzypisudolnego"/>
        <w:spacing w:before="0"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73050" w:rsidRPr="00E4060F" w:rsidRDefault="00973050" w:rsidP="00973050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</w:p>
  </w:footnote>
  <w:footnote w:id="2">
    <w:p w:rsidR="00973050" w:rsidRPr="00E71DB2" w:rsidRDefault="00973050" w:rsidP="00973050">
      <w:pPr>
        <w:pStyle w:val="Tekstprzypisudolnego"/>
        <w:spacing w:before="0" w:after="60" w:line="276" w:lineRule="auto"/>
        <w:ind w:right="-144"/>
        <w:rPr>
          <w:rFonts w:asciiTheme="minorHAnsi" w:hAnsiTheme="minorHAnsi" w:cstheme="minorHAnsi"/>
          <w:sz w:val="18"/>
          <w:szCs w:val="18"/>
        </w:rPr>
      </w:pPr>
      <w:r w:rsidRPr="000F563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633">
        <w:rPr>
          <w:rFonts w:asciiTheme="minorHAnsi" w:hAnsiTheme="minorHAnsi" w:cstheme="minorHAnsi"/>
          <w:sz w:val="22"/>
          <w:szCs w:val="22"/>
        </w:rPr>
        <w:t xml:space="preserve"> W ramach doposażenia stanowiska pracy, przy zatrudnieniu pracownika do projektu na min. ½ etatu.</w:t>
      </w:r>
    </w:p>
  </w:footnote>
  <w:footnote w:id="3">
    <w:p w:rsidR="00973050" w:rsidRPr="00182096" w:rsidRDefault="00973050" w:rsidP="00973050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zegarowa.</w:t>
      </w:r>
    </w:p>
  </w:footnote>
  <w:footnote w:id="4">
    <w:p w:rsidR="00973050" w:rsidRPr="00182096" w:rsidRDefault="00973050" w:rsidP="00973050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40 osób wyposażona m.in. w projektor multimedialny z ekranem, komputer, flipchart lub tablicę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suchościeralną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>, bezprzewodowy dostęp do Internetu – koszt obejmuje zużycie energii elektrycznej. Cena obejmuje wynajem krótkoterminowy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182096">
        <w:rPr>
          <w:rFonts w:asciiTheme="minorHAnsi" w:hAnsiTheme="minorHAnsi" w:cstheme="minorHAnsi"/>
          <w:sz w:val="22"/>
          <w:szCs w:val="22"/>
        </w:rPr>
        <w:t>w przypadku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wynajmu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szkoleniowych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okres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dłuższy niż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80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godzin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zegarowych cena powinna być niższa).</w:t>
      </w:r>
    </w:p>
  </w:footnote>
  <w:footnote w:id="5">
    <w:p w:rsidR="00973050" w:rsidRPr="00E71DB2" w:rsidRDefault="00973050" w:rsidP="00973050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10 osób wyposażona m.in. we flipchart lub tablicę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suchościeralną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 xml:space="preserve">, bezprzewodowy dostęp do Internetu – koszt obejmuje zużycie energii elektrycznej. Cena obejmuje wynajem krótkoterminowy (w przypadku wynajmu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 xml:space="preserve"> szkoleniowych na okres dłuższy niż 80 godzin zegarowych cena powinna być niższa).</w:t>
      </w:r>
      <w:r w:rsidRPr="00E71DB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:rsidR="00973050" w:rsidRPr="009605AD" w:rsidRDefault="00973050" w:rsidP="00973050">
      <w:pPr>
        <w:pStyle w:val="Tekstprzypisudolnego"/>
        <w:spacing w:after="0"/>
        <w:rPr>
          <w:rFonts w:asciiTheme="minorHAnsi" w:hAnsiTheme="minorHAnsi" w:cstheme="minorHAnsi"/>
        </w:rPr>
      </w:pPr>
      <w:r w:rsidRPr="009605AD">
        <w:rPr>
          <w:rStyle w:val="Odwoanieprzypisudolnego"/>
          <w:rFonts w:asciiTheme="minorHAnsi" w:hAnsiTheme="minorHAnsi" w:cstheme="minorHAnsi"/>
        </w:rPr>
        <w:footnoteRef/>
      </w:r>
      <w:r w:rsidRPr="009605AD">
        <w:rPr>
          <w:rFonts w:asciiTheme="minorHAnsi" w:hAnsiTheme="minorHAnsi" w:cstheme="minorHAnsi"/>
        </w:rPr>
        <w:t xml:space="preserve"> Cena dotyczy kosztu noclegu dwóch osób w postoju dwuosobowym. W uzasadnionych przypadkach możliwy jest nocleg jednej osoby w pokoju jedno lub dwuosobowym w cenie nieprzekraczającej określoną w taryfikatorze stawkę 360,00 zł / noc. </w:t>
      </w:r>
    </w:p>
  </w:footnote>
  <w:footnote w:id="7">
    <w:p w:rsidR="00973050" w:rsidRDefault="00973050" w:rsidP="00973050">
      <w:pPr>
        <w:pStyle w:val="Tekstprzypisudolnego"/>
      </w:pPr>
      <w:r w:rsidRPr="00352122">
        <w:rPr>
          <w:rStyle w:val="Odwoanieprzypisudolnego"/>
        </w:rPr>
        <w:footnoteRef/>
      </w:r>
      <w:r w:rsidRPr="00352122">
        <w:t xml:space="preserve"> </w:t>
      </w:r>
      <w:r w:rsidRPr="00352122">
        <w:rPr>
          <w:rFonts w:asciiTheme="minorHAnsi" w:hAnsiTheme="minorHAnsi"/>
        </w:rPr>
        <w:t>Stawka dot. opieki nad dzieckiem w formie 1:1. W przypadku korzystania z punktów opieki nad dzieckiem tj. żłobka/przedszkola/klubu malucha itp. należy przyjąć stawkę obowiązującą w danej placówce.</w:t>
      </w:r>
      <w:r>
        <w:rPr>
          <w:rFonts w:asciiTheme="minorHAnsi" w:hAnsiTheme="minorHAnsi"/>
        </w:rPr>
        <w:t xml:space="preserve"> </w:t>
      </w:r>
      <w:r w:rsidRPr="00C413DB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2F" w:rsidRDefault="00F5032F" w:rsidP="009A4ACC">
    <w:pPr>
      <w:pStyle w:val="Nagwek"/>
      <w:ind w:left="-1134"/>
    </w:pPr>
  </w:p>
  <w:p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EA9F388" wp14:editId="48F065C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ED9638-81F1-4825-8A5C-5489244E77BC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C4C"/>
    <w:rsid w:val="001A3D33"/>
    <w:rsid w:val="001B210F"/>
    <w:rsid w:val="001D059A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86C9D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4D6317"/>
    <w:rsid w:val="0052111D"/>
    <w:rsid w:val="005760A9"/>
    <w:rsid w:val="0059446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C4B4C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73050"/>
    <w:rsid w:val="009A4ACC"/>
    <w:rsid w:val="009D71C1"/>
    <w:rsid w:val="009F2CF0"/>
    <w:rsid w:val="00A0160D"/>
    <w:rsid w:val="00A04690"/>
    <w:rsid w:val="00A40DD3"/>
    <w:rsid w:val="00A830EB"/>
    <w:rsid w:val="00A8311B"/>
    <w:rsid w:val="00AD1EFE"/>
    <w:rsid w:val="00AD51FC"/>
    <w:rsid w:val="00AD7E56"/>
    <w:rsid w:val="00AF741E"/>
    <w:rsid w:val="00B01F08"/>
    <w:rsid w:val="00B16E8F"/>
    <w:rsid w:val="00B2442F"/>
    <w:rsid w:val="00B30401"/>
    <w:rsid w:val="00B6637D"/>
    <w:rsid w:val="00BB76D0"/>
    <w:rsid w:val="00BC363C"/>
    <w:rsid w:val="00C268A0"/>
    <w:rsid w:val="00C33F72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3050"/>
    <w:pPr>
      <w:keepNext/>
      <w:keepLines/>
      <w:spacing w:before="48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73050"/>
    <w:rPr>
      <w:rFonts w:ascii="Calibri" w:eastAsiaTheme="majorEastAsia" w:hAnsi="Calibri" w:cstheme="majorBidi"/>
      <w:b/>
      <w:sz w:val="28"/>
      <w:szCs w:val="32"/>
    </w:rPr>
  </w:style>
  <w:style w:type="paragraph" w:customStyle="1" w:styleId="Nagwek2">
    <w:name w:val="Nagłówek2"/>
    <w:basedOn w:val="Akapitzlist"/>
    <w:link w:val="Nagwek2Znak"/>
    <w:qFormat/>
    <w:rsid w:val="00973050"/>
    <w:pPr>
      <w:keepLines/>
      <w:numPr>
        <w:numId w:val="3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ascii="Calibri" w:eastAsiaTheme="minorHAnsi" w:hAnsi="Calibr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qFormat/>
    <w:rsid w:val="00973050"/>
    <w:pPr>
      <w:keepLines/>
      <w:numPr>
        <w:ilvl w:val="1"/>
        <w:numId w:val="3"/>
      </w:numPr>
      <w:shd w:val="clear" w:color="auto" w:fill="2E74B5" w:themeFill="accent1" w:themeFillShade="BF"/>
      <w:tabs>
        <w:tab w:val="left" w:leader="dot" w:pos="658"/>
      </w:tabs>
      <w:spacing w:before="120" w:after="120"/>
      <w:jc w:val="both"/>
      <w:outlineLvl w:val="2"/>
    </w:pPr>
    <w:rPr>
      <w:rFonts w:ascii="Calibri" w:eastAsiaTheme="minorHAnsi" w:hAnsi="Calibri" w:cs="Calibri"/>
      <w:b/>
      <w:color w:val="FFFFFF" w:themeColor="background1"/>
      <w:sz w:val="22"/>
      <w:szCs w:val="22"/>
      <w:lang w:eastAsia="en-US"/>
    </w:rPr>
  </w:style>
  <w:style w:type="character" w:customStyle="1" w:styleId="Nagwek2Znak">
    <w:name w:val="Nagłówek2 Znak"/>
    <w:basedOn w:val="Domylnaczcionkaakapitu"/>
    <w:link w:val="Nagwek2"/>
    <w:rsid w:val="00973050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973050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973050"/>
    <w:pPr>
      <w:keepLines/>
      <w:spacing w:before="120"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973050"/>
    <w:rPr>
      <w:rFonts w:eastAsiaTheme="minorHAnsi" w:cstheme="minorBidi"/>
      <w:lang w:eastAsia="en-US"/>
    </w:rPr>
  </w:style>
  <w:style w:type="paragraph" w:customStyle="1" w:styleId="Default">
    <w:name w:val="Default"/>
    <w:rsid w:val="009730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ED9638-81F1-4825-8A5C-5489244E77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6</Pages>
  <Words>714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Wlizło Agnieszka</cp:lastModifiedBy>
  <cp:revision>7</cp:revision>
  <cp:lastPrinted>2023-01-30T16:12:00Z</cp:lastPrinted>
  <dcterms:created xsi:type="dcterms:W3CDTF">2023-10-11T12:30:00Z</dcterms:created>
  <dcterms:modified xsi:type="dcterms:W3CDTF">2024-03-06T11:53:00Z</dcterms:modified>
</cp:coreProperties>
</file>