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5E489F97"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28112F">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63132F6D"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113BEF">
        <w:rPr>
          <w:rFonts w:ascii="Calibri" w:hAnsi="Calibri" w:cs="Tahoma"/>
          <w:b/>
          <w:bCs/>
        </w:rPr>
        <w:t>6</w:t>
      </w:r>
      <w:r w:rsidR="00AC4017">
        <w:rPr>
          <w:rFonts w:ascii="Calibri" w:hAnsi="Calibri" w:cs="Tahoma"/>
          <w:b/>
          <w:bCs/>
        </w:rPr>
        <w:t xml:space="preserve">. </w:t>
      </w:r>
      <w:r w:rsidR="00113BEF" w:rsidRPr="00113BEF">
        <w:rPr>
          <w:rFonts w:ascii="Calibri" w:hAnsi="Calibri" w:cs="Tahoma"/>
          <w:b/>
          <w:bCs/>
        </w:rPr>
        <w:t>Adaptacyjność pracowników i pracodawców</w:t>
      </w:r>
      <w:r w:rsidR="00113BEF">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4" w:name="_Hlk132883633"/>
      <w:r w:rsidR="000C72A9" w:rsidRPr="00C71957">
        <w:t>§ 1</w:t>
      </w:r>
      <w:bookmarkEnd w:id="4"/>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78650DD5"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252144">
        <w:rPr>
          <w:rFonts w:ascii="Calibri" w:hAnsi="Calibri" w:cs="Tahoma"/>
          <w:b/>
          <w:color w:val="000000"/>
          <w:sz w:val="22"/>
          <w:szCs w:val="22"/>
        </w:rPr>
        <w:t>6</w:t>
      </w:r>
      <w:r w:rsidR="00483E7A">
        <w:rPr>
          <w:rFonts w:ascii="Calibri" w:hAnsi="Calibri" w:cs="Tahoma"/>
          <w:b/>
          <w:color w:val="000000"/>
          <w:sz w:val="22"/>
          <w:szCs w:val="22"/>
        </w:rPr>
        <w:t>.</w:t>
      </w:r>
      <w:r w:rsidR="000F02F7">
        <w:rPr>
          <w:rFonts w:ascii="Calibri" w:hAnsi="Calibri" w:cs="Tahoma"/>
          <w:b/>
          <w:color w:val="000000"/>
          <w:sz w:val="22"/>
          <w:szCs w:val="22"/>
        </w:rPr>
        <w:t xml:space="preserve"> </w:t>
      </w:r>
      <w:r w:rsidR="00252144" w:rsidRPr="00252144">
        <w:rPr>
          <w:rFonts w:ascii="Calibri" w:hAnsi="Calibri" w:cs="Tahoma"/>
          <w:b/>
          <w:color w:val="000000"/>
          <w:sz w:val="22"/>
          <w:szCs w:val="22"/>
        </w:rPr>
        <w:t>Adaptacyjność pracowników i pracodawców</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5"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5"/>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6" w:name="_Hlk144363120"/>
      <w:r w:rsidR="00BE5629" w:rsidRPr="000157C7">
        <w:rPr>
          <w:rFonts w:ascii="Calibri" w:hAnsi="Calibri" w:cs="Calibri"/>
          <w:i/>
          <w:iCs/>
          <w:color w:val="000000"/>
          <w:sz w:val="22"/>
          <w:szCs w:val="22"/>
        </w:rPr>
        <w:t xml:space="preserve">należy wpisać numer </w:t>
      </w:r>
      <w:bookmarkEnd w:id="6"/>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327DA7A6" w14:textId="51D9199A" w:rsidR="000C72A9" w:rsidRPr="00266762"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00252144" w:rsidRPr="00252144">
        <w:rPr>
          <w:rFonts w:ascii="Calibri" w:hAnsi="Calibri" w:cs="Tahoma"/>
          <w:sz w:val="22"/>
          <w:szCs w:val="22"/>
        </w:rPr>
        <w:t>ze środków europejskich</w:t>
      </w:r>
      <w:r w:rsidRPr="00266762">
        <w:rPr>
          <w:rFonts w:ascii="Calibri" w:hAnsi="Calibri" w:cs="Tahoma"/>
          <w:sz w:val="22"/>
          <w:szCs w:val="22"/>
        </w:rPr>
        <w:t xml:space="preserv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252144">
        <w:rPr>
          <w:rFonts w:ascii="Calibri" w:hAnsi="Calibri" w:cs="Tahoma"/>
          <w:b/>
          <w:sz w:val="22"/>
          <w:szCs w:val="22"/>
        </w:rPr>
        <w:t>8</w:t>
      </w:r>
      <w:r w:rsidR="009F207F">
        <w:rPr>
          <w:rFonts w:ascii="Calibri" w:hAnsi="Calibri" w:cs="Tahoma"/>
          <w:b/>
          <w:sz w:val="22"/>
          <w:szCs w:val="22"/>
        </w:rPr>
        <w:t>5</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21CF6091"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2A51AE" w:rsidRPr="000F02F7">
        <w:rPr>
          <w:rFonts w:ascii="Calibri" w:hAnsi="Calibri" w:cs="Tahoma"/>
          <w:b/>
          <w:iCs/>
          <w:sz w:val="22"/>
          <w:szCs w:val="22"/>
        </w:rPr>
        <w:t>1</w:t>
      </w:r>
      <w:r w:rsidR="009F207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77777777"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B70F0A1" w14:textId="77777777"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0"/>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1"/>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10B808B5"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r w:rsidR="002A51AE" w:rsidRPr="009F3B75" w:rsidDel="002A51AE">
          <w:rPr>
            <w:rStyle w:val="Hipercze"/>
            <w:rFonts w:ascii="Calibri" w:hAnsi="Calibri" w:cs="Calibri"/>
            <w:sz w:val="22"/>
            <w:szCs w:val="22"/>
          </w:rPr>
          <w:t xml:space="preserve"> </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6" w:name="_Hlk130902526"/>
      <w:r w:rsidRPr="00266762">
        <w:rPr>
          <w:rFonts w:ascii="Calibri" w:hAnsi="Calibri" w:cs="Tahoma"/>
          <w:sz w:val="22"/>
          <w:szCs w:val="22"/>
        </w:rPr>
        <w:t xml:space="preserve">Beneficjent zobowiązuje się do stosowania </w:t>
      </w:r>
      <w:bookmarkEnd w:id="16"/>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7F32C079"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7"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7"/>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57EB7CCF"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8"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r w:rsidR="009F3B75" w:rsidRPr="009F3B75" w:rsidDel="009F3B75">
          <w:rPr>
            <w:rStyle w:val="Hipercze"/>
            <w:rFonts w:ascii="Calibri" w:hAnsi="Calibri" w:cs="Calibri"/>
            <w:sz w:val="22"/>
            <w:szCs w:val="22"/>
          </w:rPr>
          <w:t xml:space="preserve"> </w:t>
        </w:r>
      </w:hyperlink>
      <w:bookmarkEnd w:id="18"/>
      <w:r w:rsidR="00FD6F6E" w:rsidRPr="0072224B">
        <w:rPr>
          <w:rFonts w:ascii="Calibri" w:hAnsi="Calibri" w:cs="Calibri"/>
          <w:sz w:val="22"/>
          <w:szCs w:val="22"/>
        </w:rPr>
        <w:t>,</w:t>
      </w:r>
      <w:bookmarkStart w:id="1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9"/>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20" w:name="_Hlk126659191"/>
      <w:r>
        <w:t>Uproszczone metody rozliczania wydatków</w:t>
      </w:r>
      <w:r>
        <w:br/>
      </w:r>
      <w:bookmarkStart w:id="21" w:name="_Hlk131074303"/>
      <w:r w:rsidR="000C72A9" w:rsidRPr="00C27CDC">
        <w:t>§ 5</w:t>
      </w:r>
      <w:bookmarkEnd w:id="21"/>
      <w:r w:rsidR="000C72A9" w:rsidRPr="00C27CDC">
        <w:t>.</w:t>
      </w:r>
      <w:bookmarkEnd w:id="20"/>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lastRenderedPageBreak/>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7"/>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14:paraId="35DC167B" w14:textId="77777777" w:rsidR="000C72A9" w:rsidRPr="00F85436" w:rsidRDefault="00B244DC" w:rsidP="00823999">
      <w:pPr>
        <w:pStyle w:val="Nagwek2"/>
        <w:rPr>
          <w:rFonts w:cs="Tahoma"/>
          <w:sz w:val="22"/>
          <w:szCs w:val="22"/>
        </w:rPr>
      </w:pPr>
      <w:bookmarkStart w:id="22" w:name="_Hlk126659315"/>
      <w:r>
        <w:t>Wyodrębniona e</w:t>
      </w:r>
      <w:r w:rsidR="00ED30AE">
        <w:t>widencja</w:t>
      </w:r>
      <w:r w:rsidR="00C23BC9" w:rsidRPr="00823999">
        <w:br/>
      </w:r>
      <w:r w:rsidR="000C72A9" w:rsidRPr="00823999">
        <w:t>§ 7</w:t>
      </w:r>
      <w:r w:rsidR="000C72A9" w:rsidRPr="00267E8C">
        <w:rPr>
          <w:rFonts w:cs="Tahoma"/>
          <w:sz w:val="22"/>
          <w:szCs w:val="22"/>
        </w:rPr>
        <w:t>.</w:t>
      </w:r>
      <w:bookmarkEnd w:id="22"/>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t>
      </w:r>
      <w:r w:rsidR="007F4A71" w:rsidRPr="00937115">
        <w:rPr>
          <w:rFonts w:ascii="Calibri" w:hAnsi="Calibri" w:cs="Tahoma"/>
          <w:sz w:val="22"/>
          <w:szCs w:val="22"/>
        </w:rPr>
        <w:lastRenderedPageBreak/>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lastRenderedPageBreak/>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54E53BB9" w14:textId="77777777" w:rsidR="0080361B" w:rsidRPr="007C183E" w:rsidRDefault="0080361B" w:rsidP="0080361B">
      <w:pPr>
        <w:pStyle w:val="Akapitzlist"/>
        <w:numPr>
          <w:ilvl w:val="0"/>
          <w:numId w:val="13"/>
        </w:numPr>
        <w:tabs>
          <w:tab w:val="clear" w:pos="360"/>
          <w:tab w:val="num" w:pos="432"/>
        </w:tabs>
        <w:ind w:left="432"/>
        <w:rPr>
          <w:rFonts w:asciiTheme="minorHAnsi" w:hAnsiTheme="minorHAnsi" w:cstheme="minorHAnsi"/>
          <w:sz w:val="22"/>
          <w:szCs w:val="22"/>
        </w:rPr>
      </w:pPr>
      <w:r w:rsidRPr="007C183E">
        <w:rPr>
          <w:rFonts w:asciiTheme="minorHAnsi" w:hAnsiTheme="minorHAnsi" w:cstheme="minorHAnsi"/>
          <w:sz w:val="22"/>
          <w:szCs w:val="22"/>
        </w:rPr>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33"/>
      </w:r>
      <w:r w:rsidRPr="007C183E">
        <w:rPr>
          <w:rFonts w:asciiTheme="minorHAnsi" w:hAnsiTheme="minorHAnsi" w:cstheme="minorHAnsi"/>
          <w:sz w:val="22"/>
          <w:szCs w:val="22"/>
        </w:rPr>
        <w:t xml:space="preserve"> o którym mowa w § 8 ust. 3 umowy 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 z </w:t>
      </w:r>
      <w:proofErr w:type="spellStart"/>
      <w:r w:rsidRPr="007C183E">
        <w:rPr>
          <w:rFonts w:asciiTheme="minorHAnsi" w:hAnsiTheme="minorHAnsi" w:cstheme="minorHAnsi"/>
          <w:sz w:val="22"/>
          <w:szCs w:val="22"/>
        </w:rPr>
        <w:t>późn</w:t>
      </w:r>
      <w:proofErr w:type="spellEnd"/>
      <w:r w:rsidRPr="007C183E">
        <w:rPr>
          <w:rFonts w:asciiTheme="minorHAnsi" w:hAnsiTheme="minorHAnsi" w:cstheme="minorHAnsi"/>
          <w:sz w:val="22"/>
          <w:szCs w:val="22"/>
        </w:rPr>
        <w:t>. zm.).</w:t>
      </w:r>
    </w:p>
    <w:p w14:paraId="7931130D" w14:textId="77777777" w:rsidR="0080361B" w:rsidRPr="000F02F7" w:rsidRDefault="0080361B" w:rsidP="0080361B">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Pr="000F02F7">
        <w:rPr>
          <w:rFonts w:ascii="Calibri" w:hAnsi="Calibri" w:cs="Tahoma"/>
          <w:color w:val="000000"/>
          <w:sz w:val="22"/>
          <w:szCs w:val="22"/>
        </w:rPr>
        <w:t xml:space="preserve"> realizacji zlecenia płatności przez Bank Gospodarstwa Krajowego.</w:t>
      </w:r>
    </w:p>
    <w:p w14:paraId="6AB4DAAC" w14:textId="77777777" w:rsidR="0080361B" w:rsidRPr="00266762" w:rsidRDefault="0080361B" w:rsidP="0080361B">
      <w:pPr>
        <w:numPr>
          <w:ilvl w:val="0"/>
          <w:numId w:val="13"/>
        </w:numPr>
        <w:tabs>
          <w:tab w:val="clear" w:pos="360"/>
          <w:tab w:val="left" w:pos="142"/>
          <w:tab w:val="num" w:pos="432"/>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Pr="00266762">
        <w:rPr>
          <w:rFonts w:ascii="Calibri" w:hAnsi="Calibri" w:cs="Tahoma"/>
          <w:sz w:val="22"/>
          <w:szCs w:val="22"/>
        </w:rPr>
        <w:t xml:space="preserve"> Beneficjent ma prawo renegocjować zakres rzeczowy Projektu i harmonogram płatności.</w:t>
      </w:r>
    </w:p>
    <w:p w14:paraId="3735E98D" w14:textId="77777777" w:rsidR="0080361B" w:rsidRDefault="0080361B" w:rsidP="0080361B">
      <w:pPr>
        <w:numPr>
          <w:ilvl w:val="0"/>
          <w:numId w:val="13"/>
        </w:numPr>
        <w:tabs>
          <w:tab w:val="clear" w:pos="360"/>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2A4DA3BC" w14:textId="77777777" w:rsidR="0080361B" w:rsidRDefault="0080361B" w:rsidP="0080361B">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 xml:space="preserve">Instytucja Zarządzająca informuje Beneficjenta o wstrzymaniu biegu terminu wypłaty transzy </w:t>
      </w:r>
      <w:r>
        <w:rPr>
          <w:rFonts w:ascii="Calibri" w:hAnsi="Calibri" w:cs="Tahoma"/>
          <w:color w:val="000000"/>
          <w:sz w:val="22"/>
          <w:szCs w:val="22"/>
        </w:rPr>
        <w:t xml:space="preserve">             </w:t>
      </w:r>
      <w:r w:rsidRPr="007860B5">
        <w:rPr>
          <w:rFonts w:ascii="Calibri" w:hAnsi="Calibri" w:cs="Tahoma"/>
          <w:color w:val="000000"/>
          <w:sz w:val="22"/>
          <w:szCs w:val="22"/>
        </w:rPr>
        <w:t>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lastRenderedPageBreak/>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7777777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4"/>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5"/>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6"/>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8"/>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9"/>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 xml:space="preserve">które z działań zaplanowanych we wniosku zostały już zrealizowane oraz w jaki sposób ich realizacja wpłynęła na sytuację osób z niepełnosprawnościami, a także na równość kobiet i mężczyzn lub innych grup </w:t>
      </w:r>
      <w:r w:rsidR="009B7A84">
        <w:rPr>
          <w:rFonts w:ascii="Calibri" w:hAnsi="Calibri" w:cs="Tahoma"/>
          <w:sz w:val="22"/>
          <w:szCs w:val="22"/>
        </w:rPr>
        <w:lastRenderedPageBreak/>
        <w:t>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0"/>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1"/>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bieg terminów weryfikacji, o których mowa w ust. 1 w stosunku do ww. wniosków o płatność, ulega zawieszeniu do dnia przekazania przez Beneficjenta do Instytucji Zarządzającej informacji </w:t>
      </w:r>
      <w:r w:rsidRPr="00266762">
        <w:rPr>
          <w:rFonts w:ascii="Calibri" w:hAnsi="Calibri" w:cs="Tahoma"/>
          <w:sz w:val="22"/>
          <w:szCs w:val="22"/>
        </w:rPr>
        <w:lastRenderedPageBreak/>
        <w:t>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43C580CC"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 o który</w:t>
      </w:r>
      <w:r w:rsidR="00811BDC">
        <w:rPr>
          <w:rFonts w:ascii="Calibri" w:hAnsi="Calibri" w:cs="Tahoma"/>
          <w:sz w:val="22"/>
          <w:szCs w:val="22"/>
        </w:rPr>
        <w:t>m</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2"/>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962F185" w14:textId="77777777"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3"/>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w:t>
      </w:r>
      <w:r w:rsidR="003372F9" w:rsidRPr="00F2774E">
        <w:rPr>
          <w:rFonts w:ascii="Calibri" w:hAnsi="Calibri" w:cs="Tahoma"/>
          <w:sz w:val="22"/>
          <w:szCs w:val="22"/>
        </w:rPr>
        <w:lastRenderedPageBreak/>
        <w:t xml:space="preserve">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4"/>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5"/>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8A55FB">
        <w:rPr>
          <w:rFonts w:ascii="Calibri" w:hAnsi="Calibri" w:cs="Tahoma"/>
          <w:sz w:val="22"/>
          <w:szCs w:val="22"/>
        </w:rPr>
        <w:t>3</w:t>
      </w:r>
      <w:r w:rsidR="00C6549E" w:rsidRPr="00266762">
        <w:rPr>
          <w:rFonts w:ascii="Calibri" w:hAnsi="Calibri" w:cs="Tahoma"/>
          <w:sz w:val="22"/>
          <w:szCs w:val="22"/>
        </w:rPr>
        <w:t xml:space="preserve"> r. poz.</w:t>
      </w:r>
      <w:r w:rsidR="008A55FB">
        <w:rPr>
          <w:rFonts w:ascii="Calibri" w:hAnsi="Calibri" w:cs="Tahoma"/>
          <w:sz w:val="22"/>
          <w:szCs w:val="22"/>
        </w:rPr>
        <w:t xml:space="preserve"> 775</w:t>
      </w:r>
      <w:r w:rsidR="003A4CC7">
        <w:rPr>
          <w:rFonts w:ascii="Calibri" w:hAnsi="Calibri" w:cs="Tahoma"/>
          <w:sz w:val="22"/>
          <w:szCs w:val="22"/>
        </w:rPr>
        <w:t>, z</w:t>
      </w:r>
      <w:r w:rsidR="006E24FD">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46"/>
      </w:r>
    </w:p>
    <w:p w14:paraId="0E413B48"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47"/>
      </w:r>
      <w:r w:rsidRPr="00AE0EAF">
        <w:rPr>
          <w:rFonts w:ascii="Calibri" w:hAnsi="Calibri" w:cs="Tahoma"/>
          <w:i/>
          <w:sz w:val="22"/>
          <w:szCs w:val="22"/>
        </w:rPr>
        <w:t>.</w:t>
      </w:r>
    </w:p>
    <w:p w14:paraId="778BFED6" w14:textId="77777777"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50BC5519"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64197593"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8"/>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lastRenderedPageBreak/>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9"/>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0"/>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1"/>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w:t>
      </w:r>
      <w:r w:rsidR="000C72A9" w:rsidRPr="00266762">
        <w:rPr>
          <w:rFonts w:ascii="Calibri" w:hAnsi="Calibri" w:cs="Tahoma"/>
          <w:sz w:val="22"/>
          <w:szCs w:val="22"/>
        </w:rPr>
        <w:lastRenderedPageBreak/>
        <w:t xml:space="preserve">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2"/>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3"/>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4"/>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5"/>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4" w:name="_Hlk126672044"/>
      <w:r w:rsidRPr="00D314DE">
        <w:t>Kontrola</w:t>
      </w:r>
      <w:r w:rsidR="00C23BC9" w:rsidRPr="00D314DE">
        <w:br/>
      </w:r>
      <w:r w:rsidRPr="00D314DE">
        <w:t>§ 18</w:t>
      </w:r>
      <w:bookmarkEnd w:id="24"/>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lastRenderedPageBreak/>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6"/>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7"/>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9"/>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5"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0"/>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5"/>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6"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6"/>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 xml:space="preserve">na warunkach określonych </w:t>
      </w:r>
      <w:r w:rsidRPr="007851BA">
        <w:rPr>
          <w:rFonts w:ascii="Calibri" w:hAnsi="Calibri"/>
          <w:sz w:val="22"/>
          <w:szCs w:val="22"/>
        </w:rPr>
        <w:lastRenderedPageBreak/>
        <w:t>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1"/>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 xml:space="preserve">ramach projektu jest całkowite szacunkowe wynagrodzenie wykonawcy, bez podatku od </w:t>
      </w:r>
      <w:r w:rsidR="007E5EB7" w:rsidRPr="00AD7B29">
        <w:rPr>
          <w:rFonts w:ascii="Calibri" w:hAnsi="Calibri" w:cs="Calibri"/>
          <w:sz w:val="22"/>
          <w:szCs w:val="22"/>
        </w:rPr>
        <w:lastRenderedPageBreak/>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77777777"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402FFF">
        <w:rPr>
          <w:rFonts w:ascii="Calibri" w:hAnsi="Calibri" w:cs="Tahoma"/>
          <w:sz w:val="22"/>
          <w:szCs w:val="22"/>
        </w:rPr>
        <w:t>r</w:t>
      </w:r>
      <w:r w:rsidR="00402FFF" w:rsidRPr="003414AC">
        <w:rPr>
          <w:rFonts w:ascii="Calibri" w:hAnsi="Calibri" w:cs="Tahoma"/>
          <w:sz w:val="22"/>
          <w:szCs w:val="22"/>
        </w:rPr>
        <w:t>ozporządzenie</w:t>
      </w:r>
      <w:r w:rsidR="00402FFF">
        <w:rPr>
          <w:rFonts w:ascii="Calibri" w:hAnsi="Calibri" w:cs="Tahoma"/>
          <w:sz w:val="22"/>
          <w:szCs w:val="22"/>
        </w:rPr>
        <w:t>m</w:t>
      </w:r>
      <w:r w:rsidR="00402FFF" w:rsidRPr="003414AC">
        <w:rPr>
          <w:rFonts w:ascii="Calibri" w:hAnsi="Calibri" w:cs="Tahoma"/>
          <w:sz w:val="22"/>
          <w:szCs w:val="22"/>
        </w:rPr>
        <w:t xml:space="preserve"> Ministra Rozwoju z dnia 29 stycznia 2016 r. w</w:t>
      </w:r>
      <w:r w:rsidR="00771A0B">
        <w:rPr>
          <w:rFonts w:ascii="Calibri" w:hAnsi="Calibri" w:cs="Tahoma"/>
          <w:sz w:val="22"/>
          <w:szCs w:val="22"/>
        </w:rPr>
        <w:t> </w:t>
      </w:r>
      <w:r w:rsidR="00402FFF" w:rsidRPr="003414AC">
        <w:rPr>
          <w:rFonts w:ascii="Calibri" w:hAnsi="Calibri" w:cs="Tahoma"/>
          <w:sz w:val="22"/>
          <w:szCs w:val="22"/>
        </w:rPr>
        <w:t>sprawie warunków obniżania wartości korekt finansowych oraz wydatków poniesionych nieprawidłowo związanych z udzielaniem zamówień</w:t>
      </w:r>
      <w:r w:rsidR="00402FFF">
        <w:rPr>
          <w:rFonts w:ascii="Calibri" w:hAnsi="Calibri" w:cs="Tahoma"/>
          <w:sz w:val="22"/>
          <w:szCs w:val="22"/>
        </w:rPr>
        <w:t xml:space="preserve"> </w:t>
      </w:r>
      <w:r w:rsidR="00402FFF" w:rsidRPr="003414AC">
        <w:rPr>
          <w:rFonts w:ascii="Calibri" w:hAnsi="Calibri" w:cs="Tahoma"/>
          <w:sz w:val="22"/>
          <w:szCs w:val="22"/>
        </w:rPr>
        <w:t>(Dz.</w:t>
      </w:r>
      <w:r w:rsidR="00517E6F">
        <w:rPr>
          <w:rFonts w:ascii="Calibri" w:hAnsi="Calibri" w:cs="Tahoma"/>
          <w:sz w:val="22"/>
          <w:szCs w:val="22"/>
        </w:rPr>
        <w:t xml:space="preserve"> </w:t>
      </w:r>
      <w:r w:rsidR="00402FFF" w:rsidRPr="003414AC">
        <w:rPr>
          <w:rFonts w:ascii="Calibri" w:hAnsi="Calibri" w:cs="Tahoma"/>
          <w:sz w:val="22"/>
          <w:szCs w:val="22"/>
        </w:rPr>
        <w:t>U</w:t>
      </w:r>
      <w:r w:rsidR="00517E6F">
        <w:rPr>
          <w:rFonts w:ascii="Calibri" w:hAnsi="Calibri" w:cs="Tahoma"/>
          <w:sz w:val="22"/>
          <w:szCs w:val="22"/>
        </w:rPr>
        <w:t>.</w:t>
      </w:r>
      <w:r w:rsidR="00402FFF">
        <w:rPr>
          <w:rFonts w:ascii="Calibri" w:hAnsi="Calibri" w:cs="Tahoma"/>
          <w:sz w:val="22"/>
          <w:szCs w:val="22"/>
        </w:rPr>
        <w:t xml:space="preserve"> z </w:t>
      </w:r>
      <w:r w:rsidR="00402FFF" w:rsidRPr="003414AC">
        <w:rPr>
          <w:rFonts w:ascii="Calibri" w:hAnsi="Calibri" w:cs="Tahoma"/>
          <w:sz w:val="22"/>
          <w:szCs w:val="22"/>
        </w:rPr>
        <w:t>202</w:t>
      </w:r>
      <w:r w:rsidR="00402FFF">
        <w:rPr>
          <w:rFonts w:ascii="Calibri" w:hAnsi="Calibri" w:cs="Tahoma"/>
          <w:sz w:val="22"/>
          <w:szCs w:val="22"/>
        </w:rPr>
        <w:t>1</w:t>
      </w:r>
      <w:r w:rsidR="00402FFF" w:rsidRPr="003414AC">
        <w:rPr>
          <w:rFonts w:ascii="Calibri" w:hAnsi="Calibri" w:cs="Tahoma"/>
          <w:sz w:val="22"/>
          <w:szCs w:val="22"/>
        </w:rPr>
        <w:t xml:space="preserve"> </w:t>
      </w:r>
      <w:r w:rsidR="00402FFF">
        <w:rPr>
          <w:rFonts w:ascii="Calibri" w:hAnsi="Calibri" w:cs="Tahoma"/>
          <w:sz w:val="22"/>
          <w:szCs w:val="22"/>
        </w:rPr>
        <w:t>r.</w:t>
      </w:r>
      <w:r w:rsidR="00517E6F">
        <w:rPr>
          <w:rFonts w:ascii="Calibri" w:hAnsi="Calibri" w:cs="Tahoma"/>
          <w:sz w:val="22"/>
          <w:szCs w:val="22"/>
        </w:rPr>
        <w:t xml:space="preserve"> </w:t>
      </w:r>
      <w:r w:rsidR="00402FFF" w:rsidRPr="003414AC">
        <w:rPr>
          <w:rFonts w:ascii="Calibri" w:hAnsi="Calibri" w:cs="Tahoma"/>
          <w:sz w:val="22"/>
          <w:szCs w:val="22"/>
        </w:rPr>
        <w:t xml:space="preserve">poz. </w:t>
      </w:r>
      <w:r w:rsidR="00402FFF">
        <w:rPr>
          <w:rFonts w:ascii="Calibri" w:hAnsi="Calibri" w:cs="Tahoma"/>
          <w:sz w:val="22"/>
          <w:szCs w:val="22"/>
        </w:rPr>
        <w:t>2179</w:t>
      </w:r>
      <w:r w:rsidR="00402FFF" w:rsidRPr="003414AC">
        <w:rPr>
          <w:rFonts w:ascii="Calibri" w:hAnsi="Calibri" w:cs="Tahoma"/>
          <w:sz w:val="22"/>
          <w:szCs w:val="22"/>
        </w:rPr>
        <w:t>)</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7"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62"/>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7"/>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3"/>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4"/>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lastRenderedPageBreak/>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35C457A9"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lastRenderedPageBreak/>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6"/>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7"/>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w:t>
      </w:r>
      <w:r w:rsidR="00A9327A" w:rsidRPr="00937115">
        <w:rPr>
          <w:rFonts w:ascii="Calibri" w:eastAsia="Calibri" w:hAnsi="Calibri" w:cs="Calibri"/>
          <w:i/>
          <w:sz w:val="22"/>
          <w:szCs w:val="22"/>
          <w:lang w:eastAsia="en-US"/>
        </w:rPr>
        <w:lastRenderedPageBreak/>
        <w:t xml:space="preserve">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7"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18"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8"/>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9"/>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1031F9A"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lastRenderedPageBreak/>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77777777"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lastRenderedPageBreak/>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0"/>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1"/>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2"/>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3"/>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4"/>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lastRenderedPageBreak/>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6" w:name="_Hlk126752430"/>
      <w:r>
        <w:t>Zakaz przenoszenia praw</w:t>
      </w:r>
      <w:r>
        <w:br/>
      </w:r>
      <w:r w:rsidR="000C72A9" w:rsidRPr="00266762">
        <w:t>§ 29.</w:t>
      </w:r>
    </w:p>
    <w:bookmarkEnd w:id="36"/>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5"/>
      </w:r>
    </w:p>
    <w:p w14:paraId="32508D11" w14:textId="77777777"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9"/>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7777777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4D2589">
        <w:rPr>
          <w:rFonts w:ascii="Calibri" w:hAnsi="Calibri" w:cs="Tahoma"/>
          <w:sz w:val="22"/>
          <w:szCs w:val="22"/>
        </w:rPr>
        <w:t>3</w:t>
      </w:r>
      <w:r>
        <w:rPr>
          <w:rFonts w:ascii="Calibri" w:hAnsi="Calibri" w:cs="Tahoma"/>
          <w:sz w:val="22"/>
          <w:szCs w:val="22"/>
        </w:rPr>
        <w:t xml:space="preserve"> r. poz. </w:t>
      </w:r>
      <w:r w:rsidR="004D2589">
        <w:rPr>
          <w:rFonts w:ascii="Calibri" w:hAnsi="Calibri" w:cs="Tahoma"/>
          <w:sz w:val="22"/>
          <w:szCs w:val="22"/>
        </w:rPr>
        <w:t>775</w:t>
      </w:r>
      <w:r w:rsidR="00346545">
        <w:rPr>
          <w:rFonts w:ascii="Calibri" w:hAnsi="Calibri" w:cs="Tahoma"/>
          <w:sz w:val="22"/>
          <w:szCs w:val="22"/>
        </w:rPr>
        <w:t xml:space="preserve">, z </w:t>
      </w:r>
      <w:proofErr w:type="spellStart"/>
      <w:r w:rsidR="00346545">
        <w:rPr>
          <w:rFonts w:ascii="Calibri" w:hAnsi="Calibri" w:cs="Tahoma"/>
          <w:sz w:val="22"/>
          <w:szCs w:val="22"/>
        </w:rPr>
        <w:t>późn</w:t>
      </w:r>
      <w:proofErr w:type="spellEnd"/>
      <w:r w:rsidR="00346545">
        <w:rPr>
          <w:rFonts w:ascii="Calibri" w:hAnsi="Calibri" w:cs="Tahoma"/>
          <w:sz w:val="22"/>
          <w:szCs w:val="22"/>
        </w:rPr>
        <w:t>. zm.</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lastRenderedPageBreak/>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0"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0"/>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lastRenderedPageBreak/>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6"/>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204D0D10" w14:textId="77777777"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7"/>
      </w:r>
      <w:r w:rsidR="00273D83">
        <w:rPr>
          <w:rFonts w:ascii="Calibri" w:hAnsi="Calibri" w:cs="Calibri"/>
          <w:i/>
          <w:color w:val="000000"/>
          <w:sz w:val="22"/>
          <w:szCs w:val="22"/>
        </w:rPr>
        <w:t>;</w:t>
      </w:r>
    </w:p>
    <w:p w14:paraId="46FAEF6F" w14:textId="16A74D9D" w:rsid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8"/>
      </w:r>
      <w:r w:rsidR="00365403">
        <w:rPr>
          <w:rFonts w:ascii="Calibri" w:hAnsi="Calibri" w:cs="Calibri"/>
          <w:i/>
          <w:color w:val="000000"/>
          <w:sz w:val="22"/>
          <w:szCs w:val="22"/>
        </w:rPr>
        <w:t>.</w:t>
      </w:r>
    </w:p>
    <w:p w14:paraId="56341828" w14:textId="5AE1ECB2" w:rsidR="002401A3" w:rsidRPr="00B44A9D" w:rsidRDefault="002401A3" w:rsidP="002401A3">
      <w:pPr>
        <w:pStyle w:val="Nagwek2"/>
        <w:rPr>
          <w:i/>
        </w:rPr>
      </w:pPr>
      <w:r w:rsidRPr="00B44A9D">
        <w:rPr>
          <w:i/>
        </w:rPr>
        <w:t>§ 34.</w:t>
      </w:r>
    </w:p>
    <w:p w14:paraId="278F8D60" w14:textId="0A19CD9F"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41" w:name="_Hlk163043961"/>
      <w:r>
        <w:rPr>
          <w:rFonts w:asciiTheme="minorHAnsi" w:hAnsiTheme="minorHAnsi" w:cstheme="minorHAnsi"/>
          <w:i/>
          <w:sz w:val="22"/>
          <w:szCs w:val="22"/>
        </w:rPr>
        <w:t xml:space="preserve">w rolnictwie lub rybołówstwie, pomoc </w:t>
      </w:r>
      <w:bookmarkEnd w:id="41"/>
      <w:r>
        <w:rPr>
          <w:rFonts w:asciiTheme="minorHAnsi" w:hAnsiTheme="minorHAnsi" w:cstheme="minorHAns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Pr>
          <w:rFonts w:asciiTheme="minorHAnsi" w:hAnsiTheme="minorHAnsi" w:cstheme="minorHAnsi"/>
          <w:i/>
          <w:sz w:val="22"/>
          <w:szCs w:val="22"/>
        </w:rPr>
        <w:t>minimis</w:t>
      </w:r>
      <w:proofErr w:type="spellEnd"/>
      <w:r>
        <w:rPr>
          <w:rFonts w:asciiTheme="minorHAnsi" w:hAnsiTheme="minorHAnsi" w:cstheme="minorHAnsi"/>
          <w:i/>
          <w:sz w:val="22"/>
          <w:szCs w:val="22"/>
        </w:rPr>
        <w:t xml:space="preserve"> lub pomoc de minimis w rolnictwie lub rybołówstwie”.</w:t>
      </w:r>
      <w:r>
        <w:rPr>
          <w:rFonts w:asciiTheme="minorHAnsi" w:hAnsiTheme="minorHAnsi" w:cstheme="minorHAnsi"/>
          <w:i/>
          <w:sz w:val="22"/>
          <w:szCs w:val="22"/>
          <w:vertAlign w:val="superscript"/>
        </w:rPr>
        <w:t xml:space="preserve"> </w:t>
      </w:r>
      <w:r>
        <w:rPr>
          <w:vertAlign w:val="superscript"/>
        </w:rPr>
        <w:footnoteReference w:id="79"/>
      </w:r>
    </w:p>
    <w:p w14:paraId="492F635B" w14:textId="77777777"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Pr>
          <w:vertAlign w:val="superscript"/>
        </w:rPr>
        <w:footnoteReference w:id="80"/>
      </w:r>
    </w:p>
    <w:p w14:paraId="2B592CEB" w14:textId="1AFB2774" w:rsidR="002401A3" w:rsidRDefault="002401A3" w:rsidP="002401A3">
      <w:pPr>
        <w:autoSpaceDE w:val="0"/>
        <w:autoSpaceDN w:val="0"/>
        <w:adjustRightInd w:val="0"/>
        <w:spacing w:after="60" w:line="276" w:lineRule="auto"/>
        <w:ind w:left="794"/>
        <w:rPr>
          <w:rFonts w:ascii="Calibri" w:hAnsi="Calibri" w:cs="Calibri"/>
          <w:i/>
          <w:color w:val="000000"/>
          <w:sz w:val="22"/>
          <w:szCs w:val="22"/>
        </w:rPr>
      </w:pPr>
    </w:p>
    <w:p w14:paraId="30253EE5" w14:textId="77777777" w:rsidR="002401A3" w:rsidRPr="00273D83" w:rsidRDefault="002401A3" w:rsidP="00B44A9D">
      <w:pPr>
        <w:autoSpaceDE w:val="0"/>
        <w:autoSpaceDN w:val="0"/>
        <w:adjustRightInd w:val="0"/>
        <w:spacing w:after="60" w:line="276" w:lineRule="auto"/>
        <w:ind w:left="794"/>
        <w:rPr>
          <w:rFonts w:ascii="Calibri" w:hAnsi="Calibri" w:cs="Calibri"/>
          <w:i/>
          <w:color w:val="000000"/>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2"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2"/>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D8AC" w14:textId="77777777" w:rsidR="005549F4" w:rsidRDefault="005549F4">
      <w:r>
        <w:separator/>
      </w:r>
    </w:p>
  </w:endnote>
  <w:endnote w:type="continuationSeparator" w:id="0">
    <w:p w14:paraId="30889655" w14:textId="77777777" w:rsidR="005549F4" w:rsidRDefault="0055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220940" w:rsidRDefault="0022094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220940" w:rsidRDefault="00220940"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220940" w:rsidRDefault="0022094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220940" w:rsidRDefault="00220940"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220940" w:rsidRPr="0061767F" w:rsidRDefault="00220940"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220940" w:rsidRDefault="00220940"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7064" w14:textId="77777777" w:rsidR="005549F4" w:rsidRDefault="005549F4">
      <w:r>
        <w:separator/>
      </w:r>
    </w:p>
  </w:footnote>
  <w:footnote w:type="continuationSeparator" w:id="0">
    <w:p w14:paraId="75DC848B" w14:textId="77777777" w:rsidR="005549F4" w:rsidRDefault="005549F4">
      <w:r>
        <w:continuationSeparator/>
      </w:r>
    </w:p>
  </w:footnote>
  <w:footnote w:id="1">
    <w:p w14:paraId="1CCEFF3E" w14:textId="3A33FC2E" w:rsidR="00220940" w:rsidRPr="005D7CDE" w:rsidRDefault="00220940"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1ADDCE8A" w14:textId="5B024939" w:rsidR="00220940" w:rsidRDefault="00220940">
      <w:pPr>
        <w:pStyle w:val="Tekstprzypisudolnego"/>
      </w:pPr>
      <w:r>
        <w:rPr>
          <w:rStyle w:val="Odwoanieprzypisudolnego"/>
        </w:rPr>
        <w:footnoteRef/>
      </w:r>
      <w:r>
        <w:t xml:space="preserve"> </w:t>
      </w:r>
      <w:r w:rsidRPr="00B44A9D">
        <w:rPr>
          <w:rFonts w:asciiTheme="minorHAnsi" w:hAnsiTheme="minorHAnsi" w:cstheme="minorHAnsi"/>
          <w:sz w:val="22"/>
          <w:szCs w:val="22"/>
        </w:rPr>
        <w:t>Beneficjent rozumiany jest jako Partner wiodący Projektu w przypadku realizowania Projektu z Partnerem/</w:t>
      </w:r>
      <w:proofErr w:type="spellStart"/>
      <w:r w:rsidRPr="00B44A9D">
        <w:rPr>
          <w:rFonts w:asciiTheme="minorHAnsi" w:hAnsiTheme="minorHAnsi" w:cstheme="minorHAnsi"/>
          <w:sz w:val="22"/>
          <w:szCs w:val="22"/>
        </w:rPr>
        <w:t>ami</w:t>
      </w:r>
      <w:proofErr w:type="spellEnd"/>
      <w:r w:rsidRPr="00B44A9D">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220940" w:rsidRPr="00BE605C" w:rsidRDefault="00220940">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220940" w:rsidRPr="005D7CDE" w:rsidRDefault="00220940"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220940" w:rsidRPr="002E459D" w:rsidRDefault="00220940"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220940" w:rsidRPr="005D7CDE" w:rsidRDefault="00220940"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7">
    <w:p w14:paraId="680C9371" w14:textId="77777777" w:rsidR="00220940" w:rsidRPr="005D7CDE" w:rsidRDefault="00220940"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220940" w:rsidRPr="005D7CDE" w:rsidRDefault="00220940"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220940" w:rsidRPr="00EC1735" w:rsidRDefault="00220940">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12D76837" w14:textId="77777777" w:rsidR="00220940" w:rsidRPr="005D7CDE" w:rsidRDefault="00220940"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4331719"/>
      <w:r w:rsidRPr="005D7CDE">
        <w:rPr>
          <w:rFonts w:ascii="Calibri" w:hAnsi="Calibri" w:cs="Tahoma"/>
          <w:color w:val="000000"/>
          <w:sz w:val="22"/>
          <w:szCs w:val="22"/>
        </w:rPr>
        <w:t>Należy wykreślić, w przypadku gdy Projekt nie jest realizowany w ramach partnerstwa.</w:t>
      </w:r>
      <w:bookmarkEnd w:id="10"/>
    </w:p>
  </w:footnote>
  <w:footnote w:id="11">
    <w:p w14:paraId="6CC5BC87" w14:textId="77777777" w:rsidR="00220940" w:rsidRDefault="00220940">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2">
    <w:p w14:paraId="78DE69DF" w14:textId="77777777" w:rsidR="00220940" w:rsidRPr="00A7668D" w:rsidRDefault="00220940">
      <w:pPr>
        <w:pStyle w:val="Tekstprzypisudolnego"/>
      </w:pPr>
      <w:r w:rsidRPr="00BC35C2">
        <w:rPr>
          <w:rStyle w:val="Odwoanieprzypisudolnego"/>
        </w:rPr>
        <w:footnoteRef/>
      </w:r>
      <w:r w:rsidRPr="00BC35C2">
        <w:t xml:space="preserve"> </w:t>
      </w:r>
      <w:bookmarkStart w:id="11" w:name="_Hlk126747666"/>
      <w:bookmarkStart w:id="12"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3" w:name="_Hlk126747507"/>
      <w:r w:rsidRPr="00A7668D">
        <w:rPr>
          <w:rFonts w:ascii="Calibri" w:hAnsi="Calibri" w:cs="Calibri"/>
          <w:sz w:val="22"/>
          <w:szCs w:val="22"/>
        </w:rPr>
        <w:t xml:space="preserve">przeliczonej zgodnie </w:t>
      </w:r>
      <w:bookmarkStart w:id="14"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1"/>
      <w:bookmarkEnd w:id="13"/>
      <w:bookmarkEnd w:id="14"/>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2"/>
    </w:p>
  </w:footnote>
  <w:footnote w:id="13">
    <w:p w14:paraId="07908055" w14:textId="77777777" w:rsidR="00220940" w:rsidRPr="005D7CDE" w:rsidRDefault="00220940"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5"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5"/>
    </w:p>
  </w:footnote>
  <w:footnote w:id="14">
    <w:p w14:paraId="4D97FB25" w14:textId="77777777" w:rsidR="00220940" w:rsidRPr="005D7CDE" w:rsidRDefault="00220940"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5">
    <w:p w14:paraId="5A8A921B" w14:textId="77777777" w:rsidR="00220940" w:rsidRPr="005D7CDE" w:rsidRDefault="00220940"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6">
    <w:p w14:paraId="11140395" w14:textId="77777777" w:rsidR="00220940" w:rsidRPr="000F2314" w:rsidRDefault="00220940">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7">
    <w:p w14:paraId="47DA2293" w14:textId="77777777" w:rsidR="00220940" w:rsidRPr="005D7CDE" w:rsidRDefault="00220940"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14:paraId="166D4B21" w14:textId="77777777" w:rsidR="00220940" w:rsidRPr="005D7CDE" w:rsidRDefault="00220940"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14:paraId="79E7EFC6" w14:textId="77777777" w:rsidR="00220940" w:rsidRPr="005D7CDE" w:rsidRDefault="00220940"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14:paraId="51E68760" w14:textId="77777777" w:rsidR="00220940" w:rsidRPr="002022AE" w:rsidRDefault="00220940"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14:paraId="13E43EE0" w14:textId="77777777" w:rsidR="00220940" w:rsidRPr="002022AE" w:rsidRDefault="00220940"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14:paraId="364CD86A" w14:textId="77777777" w:rsidR="00220940" w:rsidRPr="002022AE" w:rsidRDefault="0022094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14:paraId="3D172776" w14:textId="77777777" w:rsidR="00220940" w:rsidRPr="002022AE" w:rsidRDefault="0022094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14:paraId="3C51A240" w14:textId="77777777" w:rsidR="00220940" w:rsidRPr="002022AE" w:rsidRDefault="00220940"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14:paraId="22CA3690" w14:textId="77777777" w:rsidR="00220940" w:rsidRPr="002022AE" w:rsidRDefault="0022094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14:paraId="429BE676" w14:textId="77777777" w:rsidR="00220940" w:rsidRPr="002022AE" w:rsidRDefault="00220940">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14:paraId="71E526E3" w14:textId="77777777" w:rsidR="00220940" w:rsidRPr="002022AE" w:rsidRDefault="00220940">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14:paraId="7F11D37D" w14:textId="77777777" w:rsidR="00220940" w:rsidRPr="00775BBF" w:rsidRDefault="00220940"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14:paraId="69EB5A85" w14:textId="77777777" w:rsidR="00220940" w:rsidRPr="005D7CDE" w:rsidRDefault="00220940"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3" w:name="_Hlk124170019"/>
      <w:r w:rsidRPr="005D7CDE">
        <w:rPr>
          <w:rFonts w:ascii="Calibri" w:hAnsi="Calibri" w:cs="Tahoma"/>
          <w:color w:val="000000"/>
          <w:sz w:val="22"/>
          <w:szCs w:val="22"/>
        </w:rPr>
        <w:t>Należy wykreślić, w przypadku gdy Projekt nie jest realizowany w ramach partnerstwa</w:t>
      </w:r>
      <w:bookmarkEnd w:id="23"/>
      <w:r w:rsidRPr="005D7CDE">
        <w:rPr>
          <w:rFonts w:ascii="Calibri" w:hAnsi="Calibri" w:cs="Tahoma"/>
          <w:color w:val="000000"/>
          <w:sz w:val="22"/>
          <w:szCs w:val="22"/>
        </w:rPr>
        <w:t>.</w:t>
      </w:r>
    </w:p>
  </w:footnote>
  <w:footnote w:id="30">
    <w:p w14:paraId="04FC80C1" w14:textId="77777777" w:rsidR="00220940" w:rsidRDefault="00220940">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14:paraId="65E416D2" w14:textId="77777777" w:rsidR="00220940" w:rsidRPr="005D7CDE" w:rsidRDefault="00220940"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14:paraId="7A4C64A8" w14:textId="77777777" w:rsidR="00220940" w:rsidRPr="00937115" w:rsidRDefault="00220940"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3">
    <w:p w14:paraId="7F8F3125" w14:textId="77777777" w:rsidR="0080361B" w:rsidRPr="005D7CDE" w:rsidRDefault="0080361B"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4">
    <w:p w14:paraId="27E429D4" w14:textId="77777777" w:rsidR="00220940" w:rsidRPr="005D7CDE" w:rsidRDefault="00220940"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5">
    <w:p w14:paraId="77256BCD" w14:textId="77777777" w:rsidR="00220940" w:rsidRPr="00722F5C" w:rsidRDefault="00220940">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6">
    <w:p w14:paraId="71A583BE" w14:textId="77777777" w:rsidR="00220940" w:rsidRPr="005D7CDE" w:rsidRDefault="0022094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7">
    <w:p w14:paraId="75BBFBFE" w14:textId="77777777" w:rsidR="00220940" w:rsidRPr="005D7CDE" w:rsidRDefault="0022094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8">
    <w:p w14:paraId="47BF35BC" w14:textId="77777777" w:rsidR="00220940" w:rsidRPr="004F1D80" w:rsidRDefault="0022094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9">
    <w:p w14:paraId="0D7D4DE2" w14:textId="77777777" w:rsidR="00220940" w:rsidRPr="004F1D80" w:rsidRDefault="0022094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0">
    <w:p w14:paraId="1B218FC0" w14:textId="77777777" w:rsidR="00220940" w:rsidRPr="00DE3ECD" w:rsidRDefault="0022094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1">
    <w:p w14:paraId="71947883" w14:textId="77777777" w:rsidR="00220940" w:rsidRPr="00DE3ECD" w:rsidRDefault="0022094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2">
    <w:p w14:paraId="67E02988" w14:textId="77777777" w:rsidR="00220940" w:rsidRPr="005D7CDE" w:rsidRDefault="00220940"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3">
    <w:p w14:paraId="1DA62EA2" w14:textId="77777777" w:rsidR="00220940" w:rsidRPr="000C6773" w:rsidRDefault="0022094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4">
    <w:p w14:paraId="0B57C9BB" w14:textId="77777777" w:rsidR="00220940" w:rsidRPr="005D7CDE" w:rsidRDefault="00220940"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5">
    <w:p w14:paraId="41E2CC59" w14:textId="77777777" w:rsidR="00220940" w:rsidRPr="005D7CDE" w:rsidRDefault="00220940"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14:paraId="34C63BC3" w14:textId="77777777" w:rsidR="00220940" w:rsidRPr="005D7CDE" w:rsidRDefault="0022094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7">
    <w:p w14:paraId="33EF81FB" w14:textId="77777777" w:rsidR="00220940" w:rsidRPr="005D7CDE" w:rsidRDefault="0022094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8">
    <w:p w14:paraId="065A415F" w14:textId="77777777" w:rsidR="00220940" w:rsidRPr="004F264D" w:rsidRDefault="00220940"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9">
    <w:p w14:paraId="4F8A7C0E" w14:textId="77777777" w:rsidR="00220940" w:rsidRPr="007A0B59" w:rsidRDefault="00220940"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0">
    <w:p w14:paraId="0EC5F4D0" w14:textId="77A0F1EB" w:rsidR="00220940" w:rsidRPr="007A0B59" w:rsidRDefault="00220940"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1">
    <w:p w14:paraId="5B4D8D3A" w14:textId="77777777" w:rsidR="00220940" w:rsidRPr="007A0B59" w:rsidRDefault="0022094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492FD6B7" w14:textId="77777777" w:rsidR="00220940" w:rsidRPr="007A0B59" w:rsidRDefault="0022094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14:paraId="4B4D12DB" w14:textId="746DB223" w:rsidR="00220940" w:rsidRPr="0094162C" w:rsidRDefault="00220940">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4">
    <w:p w14:paraId="66D9365F" w14:textId="77777777" w:rsidR="00220940" w:rsidRPr="0094162C" w:rsidRDefault="00220940">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5">
    <w:p w14:paraId="3607BA0C" w14:textId="77777777" w:rsidR="00220940" w:rsidRPr="00AC439C" w:rsidRDefault="00220940">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6">
    <w:p w14:paraId="61792889" w14:textId="77777777" w:rsidR="00220940" w:rsidRPr="007A0B59" w:rsidRDefault="0022094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7">
    <w:p w14:paraId="0015093C" w14:textId="77777777" w:rsidR="00220940" w:rsidRPr="007A0B59" w:rsidRDefault="0022094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8">
    <w:p w14:paraId="420FE0C5" w14:textId="77777777" w:rsidR="00220940" w:rsidRPr="007A0B59" w:rsidRDefault="0022094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9">
    <w:p w14:paraId="762EB237" w14:textId="77777777" w:rsidR="00220940" w:rsidRPr="007A0B59" w:rsidRDefault="0022094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14:paraId="7877EED9" w14:textId="77777777" w:rsidR="00220940" w:rsidRPr="0075427E" w:rsidRDefault="00220940">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1">
    <w:p w14:paraId="2C12F93D" w14:textId="77777777" w:rsidR="00220940" w:rsidRPr="00E53427" w:rsidRDefault="00220940"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62">
    <w:p w14:paraId="6EF05D1E" w14:textId="77777777" w:rsidR="00220940" w:rsidRPr="00937115" w:rsidRDefault="00220940"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3">
    <w:p w14:paraId="16313E70" w14:textId="77777777" w:rsidR="00220940" w:rsidRPr="001E3439" w:rsidRDefault="00220940">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4">
    <w:p w14:paraId="7A350FF2" w14:textId="77777777" w:rsidR="00220940" w:rsidRPr="001E3439" w:rsidRDefault="00220940">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5">
    <w:p w14:paraId="60B1BF22" w14:textId="77777777" w:rsidR="00220940" w:rsidRPr="001E3439" w:rsidRDefault="00220940">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6">
    <w:p w14:paraId="42647B79" w14:textId="77777777" w:rsidR="00220940" w:rsidRPr="00277C2C" w:rsidRDefault="00220940"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7">
    <w:p w14:paraId="23E198AA" w14:textId="77777777" w:rsidR="00220940" w:rsidRPr="00F56B90" w:rsidRDefault="00220940">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8">
    <w:p w14:paraId="20AA8515" w14:textId="77777777" w:rsidR="00220940" w:rsidRPr="00937115" w:rsidRDefault="00220940"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9">
    <w:p w14:paraId="48C02981" w14:textId="77777777" w:rsidR="00220940" w:rsidRPr="000B6C5B" w:rsidRDefault="00220940"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0">
    <w:p w14:paraId="0F052085" w14:textId="77777777" w:rsidR="00220940" w:rsidRPr="007A0B59" w:rsidRDefault="00220940"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71">
    <w:p w14:paraId="52BD3BF2" w14:textId="77777777" w:rsidR="00220940" w:rsidRPr="007A0B59" w:rsidRDefault="00220940"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2">
    <w:p w14:paraId="40B1A481" w14:textId="77777777" w:rsidR="00220940" w:rsidRPr="007A0B59" w:rsidRDefault="00220940"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3">
    <w:p w14:paraId="7A00D0C9" w14:textId="77777777" w:rsidR="00220940" w:rsidRPr="007A0B59" w:rsidRDefault="00220940"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4">
    <w:p w14:paraId="0C56ACC1" w14:textId="77777777" w:rsidR="00220940" w:rsidRPr="00225223" w:rsidRDefault="00220940">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5">
    <w:p w14:paraId="742E13CB" w14:textId="77777777" w:rsidR="00220940" w:rsidRPr="007A0B59" w:rsidRDefault="00220940"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76">
    <w:p w14:paraId="26BA4EFB" w14:textId="77777777" w:rsidR="00220940" w:rsidRPr="00813B0B" w:rsidRDefault="00220940">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7">
    <w:p w14:paraId="5474ACF4" w14:textId="77777777" w:rsidR="00220940" w:rsidRPr="00365403" w:rsidRDefault="00220940">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8">
    <w:p w14:paraId="1B1BE835" w14:textId="77777777" w:rsidR="00220940" w:rsidRPr="00365403" w:rsidRDefault="00220940">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 w:id="79">
    <w:p w14:paraId="3A037ED6" w14:textId="77777777" w:rsidR="00220940" w:rsidRDefault="00220940"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80">
    <w:p w14:paraId="3325BD59" w14:textId="77777777" w:rsidR="00220940" w:rsidRDefault="00220940"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220940" w:rsidRDefault="00220940"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220940" w:rsidRDefault="00220940">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9"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2"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4"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9"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7"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0"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7"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9"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3"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6"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89"/>
  </w:num>
  <w:num w:numId="3">
    <w:abstractNumId w:val="101"/>
  </w:num>
  <w:num w:numId="4">
    <w:abstractNumId w:val="60"/>
  </w:num>
  <w:num w:numId="5">
    <w:abstractNumId w:val="17"/>
  </w:num>
  <w:num w:numId="6">
    <w:abstractNumId w:val="21"/>
  </w:num>
  <w:num w:numId="7">
    <w:abstractNumId w:val="72"/>
  </w:num>
  <w:num w:numId="8">
    <w:abstractNumId w:val="14"/>
  </w:num>
  <w:num w:numId="9">
    <w:abstractNumId w:val="35"/>
  </w:num>
  <w:num w:numId="10">
    <w:abstractNumId w:val="49"/>
  </w:num>
  <w:num w:numId="11">
    <w:abstractNumId w:val="85"/>
  </w:num>
  <w:num w:numId="12">
    <w:abstractNumId w:val="30"/>
  </w:num>
  <w:num w:numId="13">
    <w:abstractNumId w:val="97"/>
  </w:num>
  <w:num w:numId="14">
    <w:abstractNumId w:val="95"/>
  </w:num>
  <w:num w:numId="15">
    <w:abstractNumId w:val="65"/>
  </w:num>
  <w:num w:numId="16">
    <w:abstractNumId w:val="24"/>
  </w:num>
  <w:num w:numId="17">
    <w:abstractNumId w:val="74"/>
  </w:num>
  <w:num w:numId="18">
    <w:abstractNumId w:val="94"/>
  </w:num>
  <w:num w:numId="19">
    <w:abstractNumId w:val="23"/>
  </w:num>
  <w:num w:numId="20">
    <w:abstractNumId w:val="96"/>
  </w:num>
  <w:num w:numId="21">
    <w:abstractNumId w:val="26"/>
  </w:num>
  <w:num w:numId="22">
    <w:abstractNumId w:val="50"/>
  </w:num>
  <w:num w:numId="23">
    <w:abstractNumId w:val="64"/>
  </w:num>
  <w:num w:numId="24">
    <w:abstractNumId w:val="63"/>
  </w:num>
  <w:num w:numId="25">
    <w:abstractNumId w:val="15"/>
  </w:num>
  <w:num w:numId="26">
    <w:abstractNumId w:val="18"/>
  </w:num>
  <w:num w:numId="27">
    <w:abstractNumId w:val="71"/>
  </w:num>
  <w:num w:numId="28">
    <w:abstractNumId w:val="67"/>
  </w:num>
  <w:num w:numId="29">
    <w:abstractNumId w:val="53"/>
  </w:num>
  <w:num w:numId="30">
    <w:abstractNumId w:val="62"/>
  </w:num>
  <w:num w:numId="31">
    <w:abstractNumId w:val="59"/>
  </w:num>
  <w:num w:numId="32">
    <w:abstractNumId w:val="34"/>
  </w:num>
  <w:num w:numId="33">
    <w:abstractNumId w:val="43"/>
  </w:num>
  <w:num w:numId="34">
    <w:abstractNumId w:val="70"/>
  </w:num>
  <w:num w:numId="35">
    <w:abstractNumId w:val="73"/>
  </w:num>
  <w:num w:numId="36">
    <w:abstractNumId w:val="29"/>
  </w:num>
  <w:num w:numId="37">
    <w:abstractNumId w:val="13"/>
  </w:num>
  <w:num w:numId="38">
    <w:abstractNumId w:val="10"/>
  </w:num>
  <w:num w:numId="39">
    <w:abstractNumId w:val="42"/>
  </w:num>
  <w:num w:numId="40">
    <w:abstractNumId w:val="25"/>
  </w:num>
  <w:num w:numId="41">
    <w:abstractNumId w:val="52"/>
  </w:num>
  <w:num w:numId="42">
    <w:abstractNumId w:val="48"/>
  </w:num>
  <w:num w:numId="43">
    <w:abstractNumId w:val="19"/>
  </w:num>
  <w:num w:numId="44">
    <w:abstractNumId w:val="33"/>
  </w:num>
  <w:num w:numId="45">
    <w:abstractNumId w:val="36"/>
  </w:num>
  <w:num w:numId="46">
    <w:abstractNumId w:val="12"/>
  </w:num>
  <w:num w:numId="47">
    <w:abstractNumId w:val="92"/>
  </w:num>
  <w:num w:numId="48">
    <w:abstractNumId w:val="93"/>
  </w:num>
  <w:num w:numId="49">
    <w:abstractNumId w:val="57"/>
  </w:num>
  <w:num w:numId="50">
    <w:abstractNumId w:val="55"/>
  </w:num>
  <w:num w:numId="51">
    <w:abstractNumId w:val="68"/>
  </w:num>
  <w:num w:numId="52">
    <w:abstractNumId w:val="80"/>
  </w:num>
  <w:num w:numId="53">
    <w:abstractNumId w:val="27"/>
  </w:num>
  <w:num w:numId="54">
    <w:abstractNumId w:val="99"/>
  </w:num>
  <w:num w:numId="55">
    <w:abstractNumId w:val="82"/>
  </w:num>
  <w:num w:numId="56">
    <w:abstractNumId w:val="16"/>
  </w:num>
  <w:num w:numId="57">
    <w:abstractNumId w:val="88"/>
  </w:num>
  <w:num w:numId="58">
    <w:abstractNumId w:val="31"/>
  </w:num>
  <w:num w:numId="59">
    <w:abstractNumId w:val="66"/>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6"/>
  </w:num>
  <w:num w:numId="71">
    <w:abstractNumId w:val="37"/>
  </w:num>
  <w:num w:numId="72">
    <w:abstractNumId w:val="77"/>
  </w:num>
  <w:num w:numId="73">
    <w:abstractNumId w:val="39"/>
  </w:num>
  <w:num w:numId="74">
    <w:abstractNumId w:val="91"/>
  </w:num>
  <w:num w:numId="75">
    <w:abstractNumId w:val="20"/>
  </w:num>
  <w:num w:numId="76">
    <w:abstractNumId w:val="28"/>
  </w:num>
  <w:num w:numId="77">
    <w:abstractNumId w:val="46"/>
  </w:num>
  <w:num w:numId="78">
    <w:abstractNumId w:val="79"/>
  </w:num>
  <w:num w:numId="79">
    <w:abstractNumId w:val="22"/>
  </w:num>
  <w:num w:numId="80">
    <w:abstractNumId w:val="86"/>
  </w:num>
  <w:num w:numId="81">
    <w:abstractNumId w:val="44"/>
  </w:num>
  <w:num w:numId="82">
    <w:abstractNumId w:val="76"/>
  </w:num>
  <w:num w:numId="83">
    <w:abstractNumId w:val="54"/>
  </w:num>
  <w:num w:numId="84">
    <w:abstractNumId w:val="61"/>
  </w:num>
  <w:num w:numId="85">
    <w:abstractNumId w:val="81"/>
  </w:num>
  <w:num w:numId="86">
    <w:abstractNumId w:val="84"/>
  </w:num>
  <w:num w:numId="87">
    <w:abstractNumId w:val="45"/>
  </w:num>
  <w:num w:numId="88">
    <w:abstractNumId w:val="90"/>
  </w:num>
  <w:num w:numId="89">
    <w:abstractNumId w:val="69"/>
  </w:num>
  <w:num w:numId="90">
    <w:abstractNumId w:val="47"/>
  </w:num>
  <w:num w:numId="91">
    <w:abstractNumId w:val="40"/>
  </w:num>
  <w:num w:numId="92">
    <w:abstractNumId w:val="58"/>
  </w:num>
  <w:num w:numId="93">
    <w:abstractNumId w:val="100"/>
  </w:num>
  <w:num w:numId="94">
    <w:abstractNumId w:val="51"/>
  </w:num>
  <w:num w:numId="95">
    <w:abstractNumId w:val="11"/>
  </w:num>
  <w:num w:numId="96">
    <w:abstractNumId w:val="75"/>
  </w:num>
  <w:num w:numId="97">
    <w:abstractNumId w:val="41"/>
  </w:num>
  <w:num w:numId="98">
    <w:abstractNumId w:val="98"/>
  </w:num>
  <w:num w:numId="99">
    <w:abstractNumId w:val="87"/>
  </w:num>
  <w:num w:numId="100">
    <w:abstractNumId w:val="83"/>
  </w:num>
  <w:num w:numId="101">
    <w:abstractNumId w:val="78"/>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9A359EA-A71E-4DEE-AFD5-417CF35867E6}"/>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AB1"/>
    <w:rsid w:val="005B1C8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59EA-A71E-4DEE-AFD5-417CF35867E6}">
  <ds:schemaRefs>
    <ds:schemaRef ds:uri="http://www.w3.org/2001/XMLSchema"/>
  </ds:schemaRefs>
</ds:datastoreItem>
</file>

<file path=customXml/itemProps2.xml><?xml version="1.0" encoding="utf-8"?>
<ds:datastoreItem xmlns:ds="http://schemas.openxmlformats.org/officeDocument/2006/customXml" ds:itemID="{7E432660-7630-4F33-B5D4-A23F5769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34</Pages>
  <Words>11818</Words>
  <Characters>75257</Characters>
  <Application>Microsoft Office Word</Application>
  <DocSecurity>0</DocSecurity>
  <Lines>627</Lines>
  <Paragraphs>173</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86902</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Cyrny-Kierat Kinga</cp:lastModifiedBy>
  <cp:revision>21</cp:revision>
  <cp:lastPrinted>2023-02-13T13:31:00Z</cp:lastPrinted>
  <dcterms:created xsi:type="dcterms:W3CDTF">2024-04-03T06:34:00Z</dcterms:created>
  <dcterms:modified xsi:type="dcterms:W3CDTF">2024-04-19T08:56:00Z</dcterms:modified>
</cp:coreProperties>
</file>