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0C" w:rsidRDefault="004F760C">
      <w:pPr>
        <w:jc w:val="center"/>
      </w:pPr>
    </w:p>
    <w:p w:rsidR="00BE25CB" w:rsidRDefault="00BE25CB">
      <w:pPr>
        <w:jc w:val="center"/>
        <w:rPr>
          <w:b/>
          <w:sz w:val="44"/>
        </w:rPr>
      </w:pPr>
      <w:bookmarkStart w:id="0" w:name="_GoBack"/>
      <w:bookmarkEnd w:id="0"/>
    </w:p>
    <w:p w:rsidR="00BE25CB" w:rsidRDefault="004F760C">
      <w:pPr>
        <w:jc w:val="center"/>
        <w:rPr>
          <w:b/>
          <w:sz w:val="44"/>
        </w:rPr>
      </w:pPr>
      <w:r>
        <w:rPr>
          <w:b/>
          <w:sz w:val="44"/>
        </w:rPr>
        <w:t>Szczegółowy Opis Priorytetów</w:t>
      </w:r>
    </w:p>
    <w:p w:rsidR="00BE25CB" w:rsidRDefault="004F760C">
      <w:pPr>
        <w:jc w:val="center"/>
        <w:rPr>
          <w:b/>
          <w:sz w:val="44"/>
        </w:rPr>
      </w:pPr>
      <w:r>
        <w:rPr>
          <w:b/>
          <w:sz w:val="44"/>
        </w:rPr>
        <w:t>Programu</w:t>
      </w:r>
    </w:p>
    <w:p w:rsidR="00BE25CB" w:rsidRDefault="004F760C">
      <w:pPr>
        <w:jc w:val="center"/>
        <w:rPr>
          <w:b/>
          <w:sz w:val="44"/>
        </w:rPr>
      </w:pPr>
      <w:r>
        <w:rPr>
          <w:b/>
          <w:sz w:val="44"/>
        </w:rPr>
        <w:t>Fundusze Europejskie dla Pomorza 2021-2027</w:t>
      </w:r>
    </w:p>
    <w:p w:rsidR="00BE25CB" w:rsidRDefault="00BE25CB">
      <w:pPr>
        <w:jc w:val="center"/>
        <w:rPr>
          <w:b/>
          <w:sz w:val="44"/>
        </w:rPr>
      </w:pPr>
    </w:p>
    <w:p w:rsidR="00BE25CB" w:rsidRDefault="004F760C">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1285200" cy="1522800"/>
                    </a:xfrm>
                    <a:prstGeom prst="rect">
                      <a:avLst/>
                    </a:prstGeom>
                  </pic:spPr>
                </pic:pic>
              </a:graphicData>
            </a:graphic>
          </wp:inline>
        </w:drawing>
      </w:r>
    </w:p>
    <w:p w:rsidR="00BE25CB" w:rsidRDefault="00BE25CB">
      <w:pPr>
        <w:jc w:val="center"/>
        <w:rPr>
          <w:b/>
          <w:sz w:val="44"/>
        </w:rPr>
      </w:pPr>
    </w:p>
    <w:p w:rsidR="00BE25CB" w:rsidRDefault="004F760C">
      <w:pPr>
        <w:jc w:val="center"/>
      </w:pPr>
      <w:r>
        <w:t>Wersja SZOP.FEPM.001</w:t>
      </w:r>
    </w:p>
    <w:p w:rsidR="00BE25CB" w:rsidRDefault="004F760C">
      <w:pPr>
        <w:jc w:val="center"/>
      </w:pPr>
      <w:r>
        <w:t xml:space="preserve"> Obowiązuje od dnia 2023-03-02</w:t>
      </w:r>
    </w:p>
    <w:p w:rsidR="00BE25CB" w:rsidRDefault="004F760C">
      <w:pPr>
        <w:jc w:val="center"/>
      </w:pPr>
      <w:r>
        <w:t>SZOP Bieżący</w:t>
      </w:r>
    </w:p>
    <w:p w:rsidR="00BE25CB" w:rsidRDefault="00BE25CB">
      <w:pPr>
        <w:jc w:val="center"/>
        <w:rPr>
          <w:highlight w:val="yellow"/>
        </w:rPr>
      </w:pPr>
    </w:p>
    <w:p w:rsidR="00BE25CB" w:rsidRDefault="004F760C">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BE25CB" w:rsidRDefault="00BE25CB">
      <w:pPr>
        <w:rPr>
          <w:b/>
          <w:i/>
          <w:sz w:val="44"/>
          <w:highlight w:val="yellow"/>
        </w:rPr>
      </w:pPr>
    </w:p>
    <w:p w:rsidR="00BE25CB" w:rsidRDefault="004F760C">
      <w:pPr>
        <w:rPr>
          <w:b/>
          <w:i/>
          <w:sz w:val="44"/>
        </w:rPr>
      </w:pPr>
      <w:r>
        <w:br w:type="page"/>
      </w:r>
    </w:p>
    <w:p w:rsidR="00BE25CB" w:rsidRDefault="004F760C">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BE25CB" w:rsidRDefault="00BE25CB">
      <w:pPr>
        <w:rPr>
          <w:b/>
        </w:rPr>
      </w:pPr>
    </w:p>
    <w:p w:rsidR="00BE25CB" w:rsidRDefault="00BE25CB">
      <w:pPr>
        <w:rPr>
          <w:b/>
        </w:rPr>
      </w:pPr>
    </w:p>
    <w:p w:rsidR="004F760C" w:rsidRDefault="004F760C">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28650868" w:history="1">
        <w:r w:rsidRPr="003C6B28">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_Toc128650868 \h </w:instrText>
        </w:r>
        <w:r>
          <w:rPr>
            <w:noProof/>
            <w:webHidden/>
          </w:rPr>
        </w:r>
        <w:r>
          <w:rPr>
            <w:noProof/>
            <w:webHidden/>
          </w:rPr>
          <w:fldChar w:fldCharType="separate"/>
        </w:r>
        <w:r>
          <w:rPr>
            <w:noProof/>
            <w:webHidden/>
          </w:rPr>
          <w:t>4</w:t>
        </w:r>
        <w:r>
          <w:rPr>
            <w:noProof/>
            <w:webHidden/>
          </w:rPr>
          <w:fldChar w:fldCharType="end"/>
        </w:r>
      </w:hyperlink>
    </w:p>
    <w:p w:rsidR="004F760C" w:rsidRDefault="00D05CB4">
      <w:pPr>
        <w:pStyle w:val="Spistreci2"/>
        <w:tabs>
          <w:tab w:val="right" w:leader="dot" w:pos="9396"/>
        </w:tabs>
        <w:rPr>
          <w:rFonts w:eastAsiaTheme="minorEastAsia" w:cstheme="minorBidi"/>
          <w:noProof/>
          <w:sz w:val="22"/>
          <w:szCs w:val="22"/>
        </w:rPr>
      </w:pPr>
      <w:hyperlink w:anchor="_Toc128650869" w:history="1">
        <w:r w:rsidR="004F760C" w:rsidRPr="003C6B28">
          <w:rPr>
            <w:rStyle w:val="Hipercze"/>
            <w:rFonts w:ascii="Calibri" w:hAnsi="Calibri"/>
            <w:noProof/>
          </w:rPr>
          <w:t>Priorytet FEPM.03 Fundusze europejskie dla mobilnego Pomorza</w:t>
        </w:r>
        <w:r w:rsidR="004F760C">
          <w:rPr>
            <w:noProof/>
            <w:webHidden/>
          </w:rPr>
          <w:tab/>
        </w:r>
        <w:r w:rsidR="004F760C">
          <w:rPr>
            <w:noProof/>
            <w:webHidden/>
          </w:rPr>
          <w:fldChar w:fldCharType="begin"/>
        </w:r>
        <w:r w:rsidR="004F760C">
          <w:rPr>
            <w:noProof/>
            <w:webHidden/>
          </w:rPr>
          <w:instrText xml:space="preserve"> PAGEREF _Toc128650869 \h </w:instrText>
        </w:r>
        <w:r w:rsidR="004F760C">
          <w:rPr>
            <w:noProof/>
            <w:webHidden/>
          </w:rPr>
        </w:r>
        <w:r w:rsidR="004F760C">
          <w:rPr>
            <w:noProof/>
            <w:webHidden/>
          </w:rPr>
          <w:fldChar w:fldCharType="separate"/>
        </w:r>
        <w:r w:rsidR="004F760C">
          <w:rPr>
            <w:noProof/>
            <w:webHidden/>
          </w:rPr>
          <w:t>4</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0" w:history="1">
        <w:r w:rsidR="004F760C" w:rsidRPr="003C6B28">
          <w:rPr>
            <w:rStyle w:val="Hipercze"/>
            <w:rFonts w:ascii="Calibri" w:hAnsi="Calibri"/>
            <w:noProof/>
          </w:rPr>
          <w:t>Działanie FEPM.03.01 Mobilność miejska</w:t>
        </w:r>
        <w:r w:rsidR="004F760C">
          <w:rPr>
            <w:noProof/>
            <w:webHidden/>
          </w:rPr>
          <w:tab/>
        </w:r>
        <w:r w:rsidR="004F760C">
          <w:rPr>
            <w:noProof/>
            <w:webHidden/>
          </w:rPr>
          <w:fldChar w:fldCharType="begin"/>
        </w:r>
        <w:r w:rsidR="004F760C">
          <w:rPr>
            <w:noProof/>
            <w:webHidden/>
          </w:rPr>
          <w:instrText xml:space="preserve"> PAGEREF _Toc128650870 \h </w:instrText>
        </w:r>
        <w:r w:rsidR="004F760C">
          <w:rPr>
            <w:noProof/>
            <w:webHidden/>
          </w:rPr>
        </w:r>
        <w:r w:rsidR="004F760C">
          <w:rPr>
            <w:noProof/>
            <w:webHidden/>
          </w:rPr>
          <w:fldChar w:fldCharType="separate"/>
        </w:r>
        <w:r w:rsidR="004F760C">
          <w:rPr>
            <w:noProof/>
            <w:webHidden/>
          </w:rPr>
          <w:t>4</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1" w:history="1">
        <w:r w:rsidR="004F760C" w:rsidRPr="003C6B28">
          <w:rPr>
            <w:rStyle w:val="Hipercze"/>
            <w:rFonts w:ascii="Calibri" w:hAnsi="Calibri"/>
            <w:noProof/>
          </w:rPr>
          <w:t>Działanie FEPM.03.02 Mobilność miejska – ZIT na terenie obszaru metropolitalnego</w:t>
        </w:r>
        <w:r w:rsidR="004F760C">
          <w:rPr>
            <w:noProof/>
            <w:webHidden/>
          </w:rPr>
          <w:tab/>
        </w:r>
        <w:r w:rsidR="004F760C">
          <w:rPr>
            <w:noProof/>
            <w:webHidden/>
          </w:rPr>
          <w:fldChar w:fldCharType="begin"/>
        </w:r>
        <w:r w:rsidR="004F760C">
          <w:rPr>
            <w:noProof/>
            <w:webHidden/>
          </w:rPr>
          <w:instrText xml:space="preserve"> PAGEREF _Toc128650871 \h </w:instrText>
        </w:r>
        <w:r w:rsidR="004F760C">
          <w:rPr>
            <w:noProof/>
            <w:webHidden/>
          </w:rPr>
        </w:r>
        <w:r w:rsidR="004F760C">
          <w:rPr>
            <w:noProof/>
            <w:webHidden/>
          </w:rPr>
          <w:fldChar w:fldCharType="separate"/>
        </w:r>
        <w:r w:rsidR="004F760C">
          <w:rPr>
            <w:noProof/>
            <w:webHidden/>
          </w:rPr>
          <w:t>13</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2" w:history="1">
        <w:r w:rsidR="004F760C" w:rsidRPr="003C6B28">
          <w:rPr>
            <w:rStyle w:val="Hipercze"/>
            <w:rFonts w:ascii="Calibri" w:hAnsi="Calibri"/>
            <w:noProof/>
          </w:rPr>
          <w:t>Działanie FEPM.03.03 Mobilność miejska – ZIT poza terenem obszaru metropolitalnego</w:t>
        </w:r>
        <w:r w:rsidR="004F760C">
          <w:rPr>
            <w:noProof/>
            <w:webHidden/>
          </w:rPr>
          <w:tab/>
        </w:r>
        <w:r w:rsidR="004F760C">
          <w:rPr>
            <w:noProof/>
            <w:webHidden/>
          </w:rPr>
          <w:fldChar w:fldCharType="begin"/>
        </w:r>
        <w:r w:rsidR="004F760C">
          <w:rPr>
            <w:noProof/>
            <w:webHidden/>
          </w:rPr>
          <w:instrText xml:space="preserve"> PAGEREF _Toc128650872 \h </w:instrText>
        </w:r>
        <w:r w:rsidR="004F760C">
          <w:rPr>
            <w:noProof/>
            <w:webHidden/>
          </w:rPr>
        </w:r>
        <w:r w:rsidR="004F760C">
          <w:rPr>
            <w:noProof/>
            <w:webHidden/>
          </w:rPr>
          <w:fldChar w:fldCharType="separate"/>
        </w:r>
        <w:r w:rsidR="004F760C">
          <w:rPr>
            <w:noProof/>
            <w:webHidden/>
          </w:rPr>
          <w:t>22</w:t>
        </w:r>
        <w:r w:rsidR="004F760C">
          <w:rPr>
            <w:noProof/>
            <w:webHidden/>
          </w:rPr>
          <w:fldChar w:fldCharType="end"/>
        </w:r>
      </w:hyperlink>
    </w:p>
    <w:p w:rsidR="004F760C" w:rsidRDefault="00D05CB4">
      <w:pPr>
        <w:pStyle w:val="Spistreci2"/>
        <w:tabs>
          <w:tab w:val="right" w:leader="dot" w:pos="9396"/>
        </w:tabs>
        <w:rPr>
          <w:rFonts w:eastAsiaTheme="minorEastAsia" w:cstheme="minorBidi"/>
          <w:noProof/>
          <w:sz w:val="22"/>
          <w:szCs w:val="22"/>
        </w:rPr>
      </w:pPr>
      <w:hyperlink w:anchor="_Toc128650873" w:history="1">
        <w:r w:rsidR="004F760C" w:rsidRPr="003C6B28">
          <w:rPr>
            <w:rStyle w:val="Hipercze"/>
            <w:rFonts w:ascii="Calibri" w:hAnsi="Calibri"/>
            <w:noProof/>
          </w:rPr>
          <w:t>Priorytet FEPM.04 Fundusze europejskie dla lepiej połączonego Pomorza</w:t>
        </w:r>
        <w:r w:rsidR="004F760C">
          <w:rPr>
            <w:noProof/>
            <w:webHidden/>
          </w:rPr>
          <w:tab/>
        </w:r>
        <w:r w:rsidR="004F760C">
          <w:rPr>
            <w:noProof/>
            <w:webHidden/>
          </w:rPr>
          <w:fldChar w:fldCharType="begin"/>
        </w:r>
        <w:r w:rsidR="004F760C">
          <w:rPr>
            <w:noProof/>
            <w:webHidden/>
          </w:rPr>
          <w:instrText xml:space="preserve"> PAGEREF _Toc128650873 \h </w:instrText>
        </w:r>
        <w:r w:rsidR="004F760C">
          <w:rPr>
            <w:noProof/>
            <w:webHidden/>
          </w:rPr>
        </w:r>
        <w:r w:rsidR="004F760C">
          <w:rPr>
            <w:noProof/>
            <w:webHidden/>
          </w:rPr>
          <w:fldChar w:fldCharType="separate"/>
        </w:r>
        <w:r w:rsidR="004F760C">
          <w:rPr>
            <w:noProof/>
            <w:webHidden/>
          </w:rPr>
          <w:t>31</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4" w:history="1">
        <w:r w:rsidR="004F760C" w:rsidRPr="003C6B28">
          <w:rPr>
            <w:rStyle w:val="Hipercze"/>
            <w:rFonts w:ascii="Calibri" w:hAnsi="Calibri"/>
            <w:noProof/>
          </w:rPr>
          <w:t>Działanie FEPM.04.01 Infrastruktura drogowa</w:t>
        </w:r>
        <w:r w:rsidR="004F760C">
          <w:rPr>
            <w:noProof/>
            <w:webHidden/>
          </w:rPr>
          <w:tab/>
        </w:r>
        <w:r w:rsidR="004F760C">
          <w:rPr>
            <w:noProof/>
            <w:webHidden/>
          </w:rPr>
          <w:fldChar w:fldCharType="begin"/>
        </w:r>
        <w:r w:rsidR="004F760C">
          <w:rPr>
            <w:noProof/>
            <w:webHidden/>
          </w:rPr>
          <w:instrText xml:space="preserve"> PAGEREF _Toc128650874 \h </w:instrText>
        </w:r>
        <w:r w:rsidR="004F760C">
          <w:rPr>
            <w:noProof/>
            <w:webHidden/>
          </w:rPr>
        </w:r>
        <w:r w:rsidR="004F760C">
          <w:rPr>
            <w:noProof/>
            <w:webHidden/>
          </w:rPr>
          <w:fldChar w:fldCharType="separate"/>
        </w:r>
        <w:r w:rsidR="004F760C">
          <w:rPr>
            <w:noProof/>
            <w:webHidden/>
          </w:rPr>
          <w:t>32</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5" w:history="1">
        <w:r w:rsidR="004F760C" w:rsidRPr="003C6B28">
          <w:rPr>
            <w:rStyle w:val="Hipercze"/>
            <w:rFonts w:ascii="Calibri" w:hAnsi="Calibri"/>
            <w:noProof/>
          </w:rPr>
          <w:t>Działanie FEPM.04.02 Tabor kolejowy</w:t>
        </w:r>
        <w:r w:rsidR="004F760C">
          <w:rPr>
            <w:noProof/>
            <w:webHidden/>
          </w:rPr>
          <w:tab/>
        </w:r>
        <w:r w:rsidR="004F760C">
          <w:rPr>
            <w:noProof/>
            <w:webHidden/>
          </w:rPr>
          <w:fldChar w:fldCharType="begin"/>
        </w:r>
        <w:r w:rsidR="004F760C">
          <w:rPr>
            <w:noProof/>
            <w:webHidden/>
          </w:rPr>
          <w:instrText xml:space="preserve"> PAGEREF _Toc128650875 \h </w:instrText>
        </w:r>
        <w:r w:rsidR="004F760C">
          <w:rPr>
            <w:noProof/>
            <w:webHidden/>
          </w:rPr>
        </w:r>
        <w:r w:rsidR="004F760C">
          <w:rPr>
            <w:noProof/>
            <w:webHidden/>
          </w:rPr>
          <w:fldChar w:fldCharType="separate"/>
        </w:r>
        <w:r w:rsidR="004F760C">
          <w:rPr>
            <w:noProof/>
            <w:webHidden/>
          </w:rPr>
          <w:t>37</w:t>
        </w:r>
        <w:r w:rsidR="004F760C">
          <w:rPr>
            <w:noProof/>
            <w:webHidden/>
          </w:rPr>
          <w:fldChar w:fldCharType="end"/>
        </w:r>
      </w:hyperlink>
    </w:p>
    <w:p w:rsidR="004F760C" w:rsidRDefault="00D05CB4">
      <w:pPr>
        <w:pStyle w:val="Spistreci2"/>
        <w:tabs>
          <w:tab w:val="right" w:leader="dot" w:pos="9396"/>
        </w:tabs>
        <w:rPr>
          <w:rFonts w:eastAsiaTheme="minorEastAsia" w:cstheme="minorBidi"/>
          <w:noProof/>
          <w:sz w:val="22"/>
          <w:szCs w:val="22"/>
        </w:rPr>
      </w:pPr>
      <w:hyperlink w:anchor="_Toc128650876" w:history="1">
        <w:r w:rsidR="004F760C" w:rsidRPr="003C6B28">
          <w:rPr>
            <w:rStyle w:val="Hipercze"/>
            <w:rFonts w:ascii="Calibri" w:hAnsi="Calibri"/>
            <w:noProof/>
          </w:rPr>
          <w:t>Priorytet FEPM.05 Fundusze europejskie dla silnego społecznie Pomorza (EFS+)</w:t>
        </w:r>
        <w:r w:rsidR="004F760C">
          <w:rPr>
            <w:noProof/>
            <w:webHidden/>
          </w:rPr>
          <w:tab/>
        </w:r>
        <w:r w:rsidR="004F760C">
          <w:rPr>
            <w:noProof/>
            <w:webHidden/>
          </w:rPr>
          <w:fldChar w:fldCharType="begin"/>
        </w:r>
        <w:r w:rsidR="004F760C">
          <w:rPr>
            <w:noProof/>
            <w:webHidden/>
          </w:rPr>
          <w:instrText xml:space="preserve"> PAGEREF _Toc128650876 \h </w:instrText>
        </w:r>
        <w:r w:rsidR="004F760C">
          <w:rPr>
            <w:noProof/>
            <w:webHidden/>
          </w:rPr>
        </w:r>
        <w:r w:rsidR="004F760C">
          <w:rPr>
            <w:noProof/>
            <w:webHidden/>
          </w:rPr>
          <w:fldChar w:fldCharType="separate"/>
        </w:r>
        <w:r w:rsidR="004F760C">
          <w:rPr>
            <w:noProof/>
            <w:webHidden/>
          </w:rPr>
          <w:t>42</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7" w:history="1">
        <w:r w:rsidR="004F760C" w:rsidRPr="003C6B28">
          <w:rPr>
            <w:rStyle w:val="Hipercze"/>
            <w:rFonts w:ascii="Calibri" w:hAnsi="Calibri"/>
            <w:noProof/>
          </w:rPr>
          <w:t>Działanie FEPM.05.01 Rynek pracy</w:t>
        </w:r>
        <w:r w:rsidR="004F760C">
          <w:rPr>
            <w:noProof/>
            <w:webHidden/>
          </w:rPr>
          <w:tab/>
        </w:r>
        <w:r w:rsidR="004F760C">
          <w:rPr>
            <w:noProof/>
            <w:webHidden/>
          </w:rPr>
          <w:fldChar w:fldCharType="begin"/>
        </w:r>
        <w:r w:rsidR="004F760C">
          <w:rPr>
            <w:noProof/>
            <w:webHidden/>
          </w:rPr>
          <w:instrText xml:space="preserve"> PAGEREF _Toc128650877 \h </w:instrText>
        </w:r>
        <w:r w:rsidR="004F760C">
          <w:rPr>
            <w:noProof/>
            <w:webHidden/>
          </w:rPr>
        </w:r>
        <w:r w:rsidR="004F760C">
          <w:rPr>
            <w:noProof/>
            <w:webHidden/>
          </w:rPr>
          <w:fldChar w:fldCharType="separate"/>
        </w:r>
        <w:r w:rsidR="004F760C">
          <w:rPr>
            <w:noProof/>
            <w:webHidden/>
          </w:rPr>
          <w:t>42</w:t>
        </w:r>
        <w:r w:rsidR="004F760C">
          <w:rPr>
            <w:noProof/>
            <w:webHidden/>
          </w:rPr>
          <w:fldChar w:fldCharType="end"/>
        </w:r>
      </w:hyperlink>
    </w:p>
    <w:p w:rsidR="004F760C" w:rsidRDefault="00D05CB4">
      <w:pPr>
        <w:pStyle w:val="Spistreci3"/>
        <w:tabs>
          <w:tab w:val="right" w:leader="dot" w:pos="9396"/>
        </w:tabs>
        <w:rPr>
          <w:rFonts w:eastAsiaTheme="minorEastAsia" w:cstheme="minorBidi"/>
          <w:noProof/>
          <w:sz w:val="22"/>
          <w:szCs w:val="22"/>
        </w:rPr>
      </w:pPr>
      <w:hyperlink w:anchor="_Toc128650878" w:history="1">
        <w:r w:rsidR="004F760C" w:rsidRPr="003C6B28">
          <w:rPr>
            <w:rStyle w:val="Hipercze"/>
            <w:rFonts w:ascii="Calibri" w:hAnsi="Calibri"/>
            <w:noProof/>
          </w:rPr>
          <w:t>Działanie FEPM.05.02 Rynek pracy – projekty powiatowych urzędów pracy</w:t>
        </w:r>
        <w:r w:rsidR="004F760C">
          <w:rPr>
            <w:noProof/>
            <w:webHidden/>
          </w:rPr>
          <w:tab/>
        </w:r>
        <w:r w:rsidR="004F760C">
          <w:rPr>
            <w:noProof/>
            <w:webHidden/>
          </w:rPr>
          <w:fldChar w:fldCharType="begin"/>
        </w:r>
        <w:r w:rsidR="004F760C">
          <w:rPr>
            <w:noProof/>
            <w:webHidden/>
          </w:rPr>
          <w:instrText xml:space="preserve"> PAGEREF _Toc128650878 \h </w:instrText>
        </w:r>
        <w:r w:rsidR="004F760C">
          <w:rPr>
            <w:noProof/>
            <w:webHidden/>
          </w:rPr>
        </w:r>
        <w:r w:rsidR="004F760C">
          <w:rPr>
            <w:noProof/>
            <w:webHidden/>
          </w:rPr>
          <w:fldChar w:fldCharType="separate"/>
        </w:r>
        <w:r w:rsidR="004F760C">
          <w:rPr>
            <w:noProof/>
            <w:webHidden/>
          </w:rPr>
          <w:t>49</w:t>
        </w:r>
        <w:r w:rsidR="004F760C">
          <w:rPr>
            <w:noProof/>
            <w:webHidden/>
          </w:rPr>
          <w:fldChar w:fldCharType="end"/>
        </w:r>
      </w:hyperlink>
    </w:p>
    <w:p w:rsidR="00BE25CB" w:rsidRDefault="004F760C">
      <w:pPr>
        <w:rPr>
          <w:b/>
          <w:i/>
          <w:sz w:val="28"/>
        </w:rPr>
      </w:pPr>
      <w:r>
        <w:fldChar w:fldCharType="end"/>
      </w:r>
      <w:r>
        <w:br/>
      </w:r>
      <w:r>
        <w:rPr>
          <w:sz w:val="28"/>
        </w:rPr>
        <w:t>II Załączniki</w:t>
      </w:r>
    </w:p>
    <w:p w:rsidR="00BE25CB" w:rsidRDefault="004F760C">
      <w:pPr>
        <w:rPr>
          <w:sz w:val="28"/>
        </w:rPr>
      </w:pPr>
      <w:r>
        <w:rPr>
          <w:sz w:val="28"/>
        </w:rPr>
        <w:t>Indykatywna tabela finansowa</w:t>
      </w:r>
    </w:p>
    <w:p w:rsidR="00BE25CB" w:rsidRDefault="004F760C">
      <w:pPr>
        <w:rPr>
          <w:sz w:val="28"/>
        </w:rPr>
      </w:pPr>
      <w:r>
        <w:rPr>
          <w:sz w:val="28"/>
        </w:rPr>
        <w:t>Indykatywna tabela finansowa w podziale na cele polityki, cele szczegółowe i zakres interwencji</w:t>
      </w:r>
    </w:p>
    <w:p w:rsidR="00BE25CB" w:rsidRDefault="00BE25CB">
      <w:pPr>
        <w:rPr>
          <w:sz w:val="28"/>
          <w:highlight w:val="magenta"/>
        </w:rPr>
      </w:pPr>
    </w:p>
    <w:p w:rsidR="00BE25CB" w:rsidRDefault="004F760C">
      <w:pPr>
        <w:rPr>
          <w:b/>
          <w:i/>
          <w:sz w:val="44"/>
          <w:highlight w:val="magenta"/>
        </w:rPr>
      </w:pPr>
      <w:r>
        <w:br w:type="page"/>
      </w:r>
    </w:p>
    <w:p w:rsidR="00BE25CB" w:rsidRDefault="004F760C">
      <w:pPr>
        <w:pStyle w:val="Nagwek1"/>
        <w:rPr>
          <w:rFonts w:ascii="Calibri" w:hAnsi="Calibri" w:cs="Calibri"/>
        </w:rPr>
      </w:pPr>
      <w:bookmarkStart w:id="1" w:name="_Toc76643858"/>
      <w:bookmarkStart w:id="2" w:name="_Toc128650868"/>
      <w:r>
        <w:rPr>
          <w:rFonts w:ascii="Calibri" w:hAnsi="Calibri" w:cs="Calibri"/>
        </w:rPr>
        <w:lastRenderedPageBreak/>
        <w:t>I Informacje na temat Priorytetów i Działań</w:t>
      </w:r>
      <w:bookmarkEnd w:id="1"/>
      <w:bookmarkEnd w:id="2"/>
    </w:p>
    <w:p w:rsidR="00BE25CB" w:rsidRDefault="00BE25CB">
      <w:pPr>
        <w:rPr>
          <w:rFonts w:ascii="Calibri" w:hAnsi="Calibri"/>
        </w:rPr>
      </w:pPr>
    </w:p>
    <w:p w:rsidR="00BE25CB" w:rsidRDefault="00BE25CB">
      <w:pPr>
        <w:rPr>
          <w:rFonts w:ascii="Calibri" w:hAnsi="Calibri"/>
        </w:rPr>
      </w:pPr>
    </w:p>
    <w:p w:rsidR="00BE25CB" w:rsidRDefault="00BE25CB">
      <w:pPr>
        <w:rPr>
          <w:b/>
          <w:i/>
          <w:sz w:val="44"/>
          <w:highlight w:val="magenta"/>
        </w:rPr>
      </w:pPr>
    </w:p>
    <w:p w:rsidR="00BE25CB" w:rsidRDefault="004F760C">
      <w:pPr>
        <w:pStyle w:val="Nagwek2"/>
        <w:rPr>
          <w:rFonts w:ascii="Calibri" w:hAnsi="Calibri" w:cs="Calibri"/>
          <w:i w:val="0"/>
          <w:sz w:val="32"/>
        </w:rPr>
      </w:pPr>
      <w:bookmarkStart w:id="3" w:name="_Toc128650869"/>
      <w:r>
        <w:rPr>
          <w:rFonts w:ascii="Calibri" w:hAnsi="Calibri" w:cs="Calibri"/>
          <w:i w:val="0"/>
          <w:sz w:val="32"/>
        </w:rPr>
        <w:t>Priorytet FEPM.03 Fundusze europejskie dla mobilnego Pomorza</w:t>
      </w:r>
      <w:bookmarkEnd w:id="3"/>
    </w:p>
    <w:p w:rsidR="00BE25CB" w:rsidRDefault="00BE25CB">
      <w:pPr>
        <w:rPr>
          <w:rFonts w:ascii="Calibri" w:hAnsi="Calibri"/>
          <w:sz w:val="32"/>
        </w:rPr>
      </w:pPr>
    </w:p>
    <w:p w:rsidR="00BE25CB" w:rsidRDefault="004F760C">
      <w:pPr>
        <w:rPr>
          <w:b/>
          <w:sz w:val="28"/>
        </w:rPr>
      </w:pPr>
      <w:r>
        <w:rPr>
          <w:b/>
          <w:sz w:val="28"/>
        </w:rPr>
        <w:t>Instytucja Zarządzająca</w:t>
      </w:r>
    </w:p>
    <w:p w:rsidR="00BE25CB" w:rsidRDefault="004F760C">
      <w:pPr>
        <w:rPr>
          <w:b/>
          <w:sz w:val="28"/>
        </w:rPr>
      </w:pPr>
      <w:r>
        <w:rPr>
          <w:sz w:val="28"/>
        </w:rPr>
        <w:t>Urząd Marszałkowski Województwa Pomorskiego</w:t>
      </w:r>
    </w:p>
    <w:p w:rsidR="00BE25CB" w:rsidRDefault="004F760C">
      <w:pPr>
        <w:rPr>
          <w:b/>
          <w:sz w:val="28"/>
        </w:rPr>
      </w:pPr>
      <w:r>
        <w:rPr>
          <w:b/>
          <w:sz w:val="28"/>
        </w:rPr>
        <w:t>Fundusz</w:t>
      </w:r>
    </w:p>
    <w:p w:rsidR="00BE25CB" w:rsidRDefault="004F760C">
      <w:pPr>
        <w:rPr>
          <w:b/>
          <w:sz w:val="28"/>
        </w:rPr>
      </w:pPr>
      <w:r>
        <w:rPr>
          <w:sz w:val="28"/>
        </w:rPr>
        <w:t>Europejski Fundusz Rozwoju Regionalnego</w:t>
      </w:r>
    </w:p>
    <w:p w:rsidR="00BE25CB" w:rsidRDefault="004F760C">
      <w:pPr>
        <w:rPr>
          <w:b/>
          <w:sz w:val="28"/>
        </w:rPr>
      </w:pPr>
      <w:r>
        <w:rPr>
          <w:b/>
          <w:sz w:val="28"/>
        </w:rPr>
        <w:t>Cel Polityki</w:t>
      </w:r>
    </w:p>
    <w:p w:rsidR="00BE25CB" w:rsidRDefault="004F760C">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BE25CB" w:rsidRDefault="004F760C">
      <w:pPr>
        <w:rPr>
          <w:b/>
          <w:sz w:val="28"/>
        </w:rPr>
      </w:pPr>
      <w:r>
        <w:rPr>
          <w:b/>
          <w:sz w:val="28"/>
        </w:rPr>
        <w:t>Miejsce realizacji</w:t>
      </w:r>
    </w:p>
    <w:p w:rsidR="00BE25CB" w:rsidRDefault="004F760C">
      <w:pPr>
        <w:rPr>
          <w:b/>
          <w:sz w:val="28"/>
        </w:rPr>
      </w:pPr>
      <w:r>
        <w:rPr>
          <w:sz w:val="28"/>
        </w:rPr>
        <w:t>POMORSKIE</w:t>
      </w:r>
    </w:p>
    <w:p w:rsidR="00BE25CB" w:rsidRDefault="004F760C">
      <w:pPr>
        <w:rPr>
          <w:b/>
          <w:sz w:val="28"/>
        </w:rPr>
      </w:pPr>
      <w:r>
        <w:rPr>
          <w:b/>
          <w:sz w:val="28"/>
        </w:rPr>
        <w:t>Wysokość alokacji UE (EUR)</w:t>
      </w:r>
    </w:p>
    <w:p w:rsidR="00BE25CB" w:rsidRDefault="004F760C">
      <w:pPr>
        <w:rPr>
          <w:b/>
          <w:sz w:val="28"/>
        </w:rPr>
      </w:pPr>
      <w:r>
        <w:rPr>
          <w:sz w:val="28"/>
        </w:rPr>
        <w:t>148 412 027,00</w:t>
      </w:r>
    </w:p>
    <w:p w:rsidR="00BE25CB" w:rsidRDefault="00BE25CB">
      <w:pPr>
        <w:rPr>
          <w:b/>
          <w:sz w:val="28"/>
        </w:rPr>
      </w:pPr>
    </w:p>
    <w:p w:rsidR="00BE25CB" w:rsidRDefault="004F760C">
      <w:pPr>
        <w:pStyle w:val="Nagwek3"/>
        <w:rPr>
          <w:rFonts w:ascii="Calibri" w:hAnsi="Calibri" w:cs="Calibri"/>
          <w:sz w:val="32"/>
        </w:rPr>
      </w:pPr>
      <w:bookmarkStart w:id="4" w:name="_Toc128650870"/>
      <w:r>
        <w:rPr>
          <w:rFonts w:ascii="Calibri" w:hAnsi="Calibri" w:cs="Calibri"/>
          <w:sz w:val="32"/>
        </w:rPr>
        <w:t>Działanie FEPM.03.01 Mobilność miejska</w:t>
      </w:r>
      <w:bookmarkEnd w:id="4"/>
    </w:p>
    <w:p w:rsidR="00BE25CB" w:rsidRDefault="00BE25CB">
      <w:pPr>
        <w:rPr>
          <w:rFonts w:ascii="Calibri" w:hAnsi="Calibri"/>
          <w:sz w:val="32"/>
        </w:rPr>
      </w:pPr>
    </w:p>
    <w:p w:rsidR="00BE25CB" w:rsidRDefault="004F760C">
      <w:pPr>
        <w:rPr>
          <w:b/>
          <w:sz w:val="28"/>
        </w:rPr>
      </w:pPr>
      <w:r>
        <w:rPr>
          <w:b/>
          <w:sz w:val="28"/>
        </w:rPr>
        <w:lastRenderedPageBreak/>
        <w:t>Cel szczegółowy</w:t>
      </w:r>
    </w:p>
    <w:p w:rsidR="00BE25CB" w:rsidRDefault="004F760C">
      <w:pPr>
        <w:rPr>
          <w:b/>
          <w:sz w:val="28"/>
        </w:rPr>
      </w:pPr>
      <w:r>
        <w:rPr>
          <w:sz w:val="28"/>
        </w:rPr>
        <w:t>EFRR/FS.CP2.VIII - Wspieranie zrównoważonej multimodalnej mobilności miejskiej jako elementu transformacji w kierunku gospodarki zeroemisyjnej</w:t>
      </w:r>
    </w:p>
    <w:p w:rsidR="00BE25CB" w:rsidRDefault="004F760C">
      <w:pPr>
        <w:rPr>
          <w:b/>
          <w:sz w:val="28"/>
        </w:rPr>
      </w:pPr>
      <w:r>
        <w:rPr>
          <w:b/>
          <w:sz w:val="28"/>
        </w:rPr>
        <w:t>Wysokość alokacji UE (EUR)</w:t>
      </w:r>
    </w:p>
    <w:p w:rsidR="00BE25CB" w:rsidRDefault="004F760C">
      <w:pPr>
        <w:rPr>
          <w:b/>
          <w:sz w:val="28"/>
        </w:rPr>
      </w:pPr>
      <w:r>
        <w:rPr>
          <w:sz w:val="28"/>
        </w:rPr>
        <w:t>12 004 348,00</w:t>
      </w:r>
    </w:p>
    <w:p w:rsidR="00BE25CB" w:rsidRDefault="004F760C">
      <w:pPr>
        <w:rPr>
          <w:b/>
          <w:sz w:val="28"/>
        </w:rPr>
      </w:pPr>
      <w:r>
        <w:rPr>
          <w:b/>
          <w:sz w:val="28"/>
        </w:rPr>
        <w:t>Zakres interwencji</w:t>
      </w:r>
    </w:p>
    <w:p w:rsidR="00BE25CB" w:rsidRDefault="004F760C">
      <w:pPr>
        <w:rPr>
          <w:b/>
          <w:sz w:val="28"/>
        </w:rPr>
      </w:pPr>
      <w:r>
        <w:rPr>
          <w:sz w:val="28"/>
        </w:rPr>
        <w:t>086 - Infrastruktura paliw alternatywnych, 085 - Cyfryzacja transportu, gdy ma częściowo na celu redukcję emisji gazów cieplarnianych: transport miejski, 083 - Infrastruktura rowerowa, 082 - Tabor czystego transportu miejskiego, 081 - Infrastruktura czystego transportu miejskiego, 077 - Działania mające na celu poprawę jakości powietrza i ograniczenie hałasu</w:t>
      </w:r>
    </w:p>
    <w:p w:rsidR="00BE25CB" w:rsidRDefault="004F760C">
      <w:pPr>
        <w:rPr>
          <w:b/>
          <w:sz w:val="28"/>
        </w:rPr>
      </w:pPr>
      <w:r>
        <w:rPr>
          <w:b/>
          <w:sz w:val="28"/>
        </w:rPr>
        <w:t>Opis działania</w:t>
      </w:r>
    </w:p>
    <w:p w:rsidR="00BE25CB" w:rsidRDefault="004F760C">
      <w:pPr>
        <w:rPr>
          <w:b/>
          <w:sz w:val="28"/>
        </w:rPr>
      </w:pPr>
      <w:r>
        <w:rPr>
          <w:sz w:val="28"/>
        </w:rP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p>
    <w:p w:rsidR="00BE25CB" w:rsidRDefault="004F760C">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BE25CB" w:rsidRDefault="004F760C">
      <w:pPr>
        <w:rPr>
          <w:b/>
          <w:sz w:val="28"/>
        </w:rPr>
      </w:pPr>
      <w:r>
        <w:rPr>
          <w:sz w:val="28"/>
        </w:rPr>
        <w:t>Typy projektów:</w:t>
      </w:r>
    </w:p>
    <w:p w:rsidR="00BE25CB" w:rsidRDefault="004F760C">
      <w:pPr>
        <w:rPr>
          <w:b/>
          <w:sz w:val="28"/>
        </w:rPr>
      </w:pPr>
      <w:r>
        <w:rPr>
          <w:sz w:val="28"/>
        </w:rPr>
        <w:t>1. Budowa, rozbudowa i przebudowa infrastruktury składającej się na węzeł integracyjny lub przystanek zintegrowany takiej jak:</w:t>
      </w:r>
    </w:p>
    <w:p w:rsidR="00BE25CB" w:rsidRDefault="004F760C">
      <w:pPr>
        <w:rPr>
          <w:b/>
          <w:sz w:val="28"/>
        </w:rPr>
      </w:pPr>
      <w:r>
        <w:rPr>
          <w:sz w:val="28"/>
        </w:rPr>
        <w:t>a) punktowa infrastruktura transportu zbiorowego służąca powiązaniu jego różnych form: m.in. pętle autobusowe;</w:t>
      </w:r>
    </w:p>
    <w:p w:rsidR="00BE25CB" w:rsidRDefault="004F760C">
      <w:pPr>
        <w:rPr>
          <w:b/>
          <w:sz w:val="28"/>
        </w:rPr>
      </w:pPr>
      <w:r>
        <w:rPr>
          <w:sz w:val="28"/>
        </w:rPr>
        <w:lastRenderedPageBreak/>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BE25CB" w:rsidRDefault="004F760C">
      <w:pPr>
        <w:rPr>
          <w:b/>
          <w:sz w:val="28"/>
        </w:rPr>
      </w:pPr>
      <w:r>
        <w:rPr>
          <w:sz w:val="28"/>
        </w:rPr>
        <w:t xml:space="preserve">c) dworce kolejowe, autobusowe lub inne obiekty obsługi podróżnych; </w:t>
      </w:r>
    </w:p>
    <w:p w:rsidR="00BE25CB" w:rsidRDefault="004F760C">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BE25CB" w:rsidRDefault="004F760C">
      <w:pPr>
        <w:rPr>
          <w:b/>
          <w:sz w:val="28"/>
        </w:rPr>
      </w:pPr>
      <w:r>
        <w:rPr>
          <w:sz w:val="28"/>
        </w:rPr>
        <w:t>2. Budowa, rozbudowa i przebudowa liniowej infrastruktury transportu autobusowego, w tym pętli, wydzielonych pasów ruchu (buspasów), zatok przystankowych;</w:t>
      </w:r>
    </w:p>
    <w:p w:rsidR="00BE25CB" w:rsidRDefault="004F760C">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BE25CB" w:rsidRDefault="004F760C">
      <w:pPr>
        <w:rPr>
          <w:b/>
          <w:sz w:val="28"/>
        </w:rPr>
      </w:pPr>
      <w:r>
        <w:rPr>
          <w:sz w:val="28"/>
        </w:rPr>
        <w:t>4. Zakup zero i niskoemisyjnego taboru publicznego transportu zbiorowego np. autobusów;</w:t>
      </w:r>
    </w:p>
    <w:p w:rsidR="00BE25CB" w:rsidRDefault="004F760C">
      <w:pPr>
        <w:rPr>
          <w:b/>
          <w:sz w:val="28"/>
        </w:rPr>
      </w:pPr>
      <w:r>
        <w:rPr>
          <w:sz w:val="28"/>
        </w:rPr>
        <w:t xml:space="preserve">5. Rozwój infrastruktury ładowania i tankowania pojazdów zeroemisyjnych; </w:t>
      </w:r>
    </w:p>
    <w:p w:rsidR="00BE25CB" w:rsidRDefault="004F760C">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BE25CB" w:rsidRDefault="004F760C">
      <w:pPr>
        <w:rPr>
          <w:b/>
          <w:sz w:val="28"/>
        </w:rPr>
      </w:pPr>
      <w:r>
        <w:rPr>
          <w:sz w:val="28"/>
        </w:rPr>
        <w:t xml:space="preserve">a) systemów zarządzania transportem zbiorowym (w tym systemów sterowania ruchem pojazdów transportu zbiorowego); </w:t>
      </w:r>
    </w:p>
    <w:p w:rsidR="00BE25CB" w:rsidRDefault="004F760C">
      <w:pPr>
        <w:rPr>
          <w:b/>
          <w:sz w:val="28"/>
        </w:rPr>
      </w:pPr>
      <w:r>
        <w:rPr>
          <w:sz w:val="28"/>
        </w:rPr>
        <w:t xml:space="preserve">b) systemów monitoringu transportu zbiorowego i przystanków (m.in. systemów monitorowania bezpieczeństwa pasażerów); </w:t>
      </w:r>
    </w:p>
    <w:p w:rsidR="00BE25CB" w:rsidRDefault="004F760C">
      <w:pPr>
        <w:rPr>
          <w:b/>
          <w:sz w:val="28"/>
        </w:rPr>
      </w:pPr>
      <w:r>
        <w:rPr>
          <w:sz w:val="28"/>
        </w:rPr>
        <w:t xml:space="preserve">c) systemów informacji dla pasażerów transportu zbiorowego; </w:t>
      </w:r>
    </w:p>
    <w:p w:rsidR="00BE25CB" w:rsidRDefault="004F760C">
      <w:pPr>
        <w:rPr>
          <w:b/>
          <w:sz w:val="28"/>
        </w:rPr>
      </w:pPr>
      <w:r>
        <w:rPr>
          <w:sz w:val="28"/>
        </w:rPr>
        <w:t xml:space="preserve">d) systemów organizacji przewozów, w tym elektronicznych systemów pobierania opłat (bilet elektroniczny); </w:t>
      </w:r>
    </w:p>
    <w:p w:rsidR="00BE25CB" w:rsidRDefault="004F760C">
      <w:pPr>
        <w:rPr>
          <w:b/>
          <w:sz w:val="28"/>
        </w:rPr>
      </w:pPr>
      <w:r>
        <w:rPr>
          <w:sz w:val="28"/>
        </w:rPr>
        <w:t xml:space="preserve">e) aplikacji do planowania podróży. </w:t>
      </w:r>
    </w:p>
    <w:p w:rsidR="00BE25CB" w:rsidRDefault="004F760C">
      <w:pPr>
        <w:rPr>
          <w:b/>
          <w:sz w:val="28"/>
        </w:rPr>
      </w:pPr>
      <w:r>
        <w:rPr>
          <w:sz w:val="28"/>
        </w:rPr>
        <w:lastRenderedPageBreak/>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BE25CB" w:rsidRDefault="004F760C">
      <w:pPr>
        <w:rPr>
          <w:b/>
          <w:sz w:val="28"/>
        </w:rPr>
      </w:pPr>
      <w:r>
        <w:rPr>
          <w:sz w:val="28"/>
        </w:rPr>
        <w:t>Najważniejsze warunki realizacji projektów:</w:t>
      </w:r>
    </w:p>
    <w:p w:rsidR="00BE25CB" w:rsidRDefault="004F760C">
      <w:pPr>
        <w:rPr>
          <w:b/>
          <w:sz w:val="28"/>
        </w:rPr>
      </w:pPr>
      <w:r>
        <w:rPr>
          <w:sz w:val="28"/>
        </w:rPr>
        <w:t>1. Projekty muszą być zgodne z zapisami Regionalnego Programu Strategicznego w zakresie mobilności i komunikacji, stanowiącego „Regionalny Plan Transportowy dla Województwa Pomorskiego 2030”;</w:t>
      </w:r>
    </w:p>
    <w:p w:rsidR="00BE25CB" w:rsidRDefault="004F760C">
      <w:pPr>
        <w:rPr>
          <w:b/>
          <w:sz w:val="28"/>
        </w:rPr>
      </w:pPr>
      <w:r>
        <w:rPr>
          <w:sz w:val="28"/>
        </w:rPr>
        <w:t>2. Projekty muszą być zgodne z dokumentem dotyczącym planowania mobilności przyjętym dla obszaru, na którym realizowana jest inwestycja;</w:t>
      </w:r>
    </w:p>
    <w:p w:rsidR="00BE25CB" w:rsidRDefault="004F760C">
      <w:pPr>
        <w:rPr>
          <w:b/>
          <w:sz w:val="28"/>
        </w:rPr>
      </w:pPr>
      <w:r>
        <w:rPr>
          <w:sz w:val="28"/>
        </w:rPr>
        <w:t>3. Projekty na każdym etapie realizacji inwestycji muszą zapewnić poszanowanie praw podstawowych oraz przestrzeganie Karty praw podstawowych Unii Europejskiej tj.: być zgodne z zasadami horyzontalnymi dotyczącymi:</w:t>
      </w:r>
    </w:p>
    <w:p w:rsidR="00BE25CB" w:rsidRDefault="004F760C">
      <w:pPr>
        <w:rPr>
          <w:b/>
          <w:sz w:val="28"/>
        </w:rPr>
      </w:pPr>
      <w:r>
        <w:rPr>
          <w:sz w:val="28"/>
        </w:rPr>
        <w:t>- równości szans kobiet i mężczyzn,</w:t>
      </w:r>
    </w:p>
    <w:p w:rsidR="00BE25CB" w:rsidRDefault="004F760C">
      <w:pPr>
        <w:rPr>
          <w:b/>
          <w:sz w:val="28"/>
        </w:rPr>
      </w:pPr>
      <w:r>
        <w:rPr>
          <w:sz w:val="28"/>
        </w:rPr>
        <w:t>- zapobiegania wszelkiej dyskryminacji,</w:t>
      </w:r>
    </w:p>
    <w:p w:rsidR="00BE25CB" w:rsidRDefault="004F760C">
      <w:pPr>
        <w:rPr>
          <w:b/>
          <w:sz w:val="28"/>
        </w:rPr>
      </w:pPr>
      <w:r>
        <w:rPr>
          <w:sz w:val="28"/>
        </w:rPr>
        <w:t>- zapewnienia dostępności dla osób o ograniczonej mobilności oraz z niepełnosprawnościami,</w:t>
      </w:r>
    </w:p>
    <w:p w:rsidR="00BE25CB" w:rsidRDefault="004F760C">
      <w:pPr>
        <w:rPr>
          <w:b/>
          <w:sz w:val="28"/>
        </w:rPr>
      </w:pPr>
      <w:r>
        <w:rPr>
          <w:sz w:val="28"/>
        </w:rPr>
        <w:t>- wspierania zrównoważonego rozwoju, z uwzględnieniem zasady „nie czyń poważnych szkód” (DNSH),</w:t>
      </w:r>
    </w:p>
    <w:p w:rsidR="00BE25CB" w:rsidRDefault="004F760C">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BE25CB" w:rsidRDefault="004F760C">
      <w:pPr>
        <w:rPr>
          <w:b/>
          <w:sz w:val="28"/>
        </w:rPr>
      </w:pPr>
      <w:r>
        <w:rPr>
          <w:sz w:val="28"/>
        </w:rPr>
        <w:t xml:space="preserve">4. Dla pierwszego typu projektu: </w:t>
      </w:r>
    </w:p>
    <w:p w:rsidR="00BE25CB" w:rsidRDefault="004F760C">
      <w:pPr>
        <w:rPr>
          <w:b/>
          <w:sz w:val="28"/>
        </w:rPr>
      </w:pPr>
      <w:r>
        <w:rPr>
          <w:sz w:val="28"/>
        </w:rPr>
        <w:t>- nowe węzły integracyjne lub przystanki zintegrowane muszą być zlokalizowane poza obszarami centralnymi miast;</w:t>
      </w:r>
    </w:p>
    <w:p w:rsidR="00BE25CB" w:rsidRDefault="004F760C">
      <w:pPr>
        <w:rPr>
          <w:b/>
          <w:sz w:val="28"/>
        </w:rPr>
      </w:pPr>
      <w:r>
        <w:rPr>
          <w:sz w:val="28"/>
        </w:rPr>
        <w:t xml:space="preserve">- wykluczone są inwestycje w infrastrukturę drogową na potrzeby ruchu pojazdów samochodowych niewykorzystywanych w transporcie publicznym z wyjątkiem </w:t>
      </w:r>
      <w:r>
        <w:rPr>
          <w:sz w:val="28"/>
        </w:rPr>
        <w:lastRenderedPageBreak/>
        <w:t>elementów ukierunkowanych na poprawę bezpieczeństwa niechronionych użytkowników dróg (w tym pieszych i rowerzystów);</w:t>
      </w:r>
    </w:p>
    <w:p w:rsidR="00BE25CB" w:rsidRDefault="004F760C">
      <w:pPr>
        <w:rPr>
          <w:b/>
          <w:sz w:val="28"/>
        </w:rPr>
      </w:pPr>
      <w:r>
        <w:rPr>
          <w:sz w:val="28"/>
        </w:rPr>
        <w:t xml:space="preserve">- budowa i rozbudowa obiektów typu „parkuj i jedź” może być realizowana wyłącznie poza obszarami centralnymi miast. </w:t>
      </w:r>
    </w:p>
    <w:p w:rsidR="00BE25CB" w:rsidRDefault="004F760C">
      <w:pPr>
        <w:rPr>
          <w:b/>
          <w:sz w:val="28"/>
        </w:rPr>
      </w:pPr>
      <w:r>
        <w:rPr>
          <w:sz w:val="28"/>
        </w:rPr>
        <w:t>5. Dla drugiego typu projektu:</w:t>
      </w:r>
    </w:p>
    <w:p w:rsidR="00BE25CB" w:rsidRDefault="004F760C">
      <w:pPr>
        <w:rPr>
          <w:b/>
          <w:sz w:val="28"/>
        </w:rPr>
      </w:pPr>
      <w:r>
        <w:rPr>
          <w:sz w:val="28"/>
        </w:rPr>
        <w:t>- budowana, rozbudowywana lub przebudowywana sieć drogowa na potrzeby linii autobusowych nie może być wykorzystywana dla indywidualnego ruchu samochodowego.</w:t>
      </w:r>
    </w:p>
    <w:p w:rsidR="00BE25CB" w:rsidRDefault="004F760C">
      <w:pPr>
        <w:rPr>
          <w:b/>
          <w:sz w:val="28"/>
        </w:rPr>
      </w:pPr>
      <w:r>
        <w:rPr>
          <w:sz w:val="28"/>
        </w:rPr>
        <w:t xml:space="preserve">6. Dla trzeciego typu projektu: </w:t>
      </w:r>
    </w:p>
    <w:p w:rsidR="00BE25CB" w:rsidRDefault="004F760C">
      <w:pPr>
        <w:rPr>
          <w:b/>
          <w:sz w:val="28"/>
        </w:rPr>
      </w:pPr>
      <w:r>
        <w:rPr>
          <w:sz w:val="28"/>
        </w:rPr>
        <w:t>- infrastruktura transportu rowerowego, pieszego i pieszo-rowerowego może być realizowana na obszarze o promieniu 3 km od węzła integracyjnego.</w:t>
      </w:r>
    </w:p>
    <w:p w:rsidR="00BE25CB" w:rsidRDefault="004F760C">
      <w:pPr>
        <w:rPr>
          <w:b/>
          <w:sz w:val="28"/>
        </w:rPr>
      </w:pPr>
      <w:r>
        <w:rPr>
          <w:sz w:val="28"/>
        </w:rPr>
        <w:t xml:space="preserve">7. Dla czwartego typu projektu: </w:t>
      </w:r>
    </w:p>
    <w:p w:rsidR="00BE25CB" w:rsidRDefault="004F760C">
      <w:pPr>
        <w:rPr>
          <w:b/>
          <w:sz w:val="28"/>
        </w:rPr>
      </w:pPr>
      <w:r>
        <w:rPr>
          <w:sz w:val="28"/>
        </w:rPr>
        <w:t>- pojazdy niskoemisyjne muszą spełniać wymogi dla ekologicznie czystych pojazdów w rozumieniu dyrektywy Parlamentu Europejskiego i Rady 2009/33/WE.</w:t>
      </w:r>
    </w:p>
    <w:p w:rsidR="00BE25CB" w:rsidRDefault="004F760C">
      <w:pPr>
        <w:rPr>
          <w:b/>
          <w:sz w:val="28"/>
        </w:rPr>
      </w:pPr>
      <w:r>
        <w:rPr>
          <w:sz w:val="28"/>
        </w:rPr>
        <w:t>8. Dla piątego typu projektu:</w:t>
      </w:r>
    </w:p>
    <w:p w:rsidR="00BE25CB" w:rsidRDefault="004F760C">
      <w:pPr>
        <w:rPr>
          <w:b/>
          <w:sz w:val="28"/>
        </w:rPr>
      </w:pPr>
      <w:r>
        <w:rPr>
          <w:sz w:val="28"/>
        </w:rPr>
        <w:t xml:space="preserve">- infrastruktura może być realizowana jedynie w przypadku braku możliwości finansowania jej ze źródeł prywatnych; </w:t>
      </w:r>
    </w:p>
    <w:p w:rsidR="00BE25CB" w:rsidRDefault="004F760C">
      <w:pPr>
        <w:rPr>
          <w:b/>
          <w:sz w:val="28"/>
        </w:rPr>
      </w:pPr>
      <w:r>
        <w:rPr>
          <w:sz w:val="28"/>
        </w:rPr>
        <w:t xml:space="preserve">- w przypadku infrastruktury dla użytkowników indywidualnych - należy zapewnić niedyskryminacyjny dostęp dla wszystkich użytkowników. </w:t>
      </w:r>
    </w:p>
    <w:p w:rsidR="00BE25CB" w:rsidRDefault="004F760C">
      <w:pPr>
        <w:rPr>
          <w:b/>
          <w:sz w:val="28"/>
        </w:rPr>
      </w:pPr>
      <w:r>
        <w:rPr>
          <w:sz w:val="28"/>
        </w:rPr>
        <w:t>9. Dla szóstego typu projektu:</w:t>
      </w:r>
    </w:p>
    <w:p w:rsidR="00BE25CB" w:rsidRDefault="004F760C">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BE25CB" w:rsidRDefault="004F760C">
      <w:pPr>
        <w:rPr>
          <w:b/>
          <w:sz w:val="28"/>
        </w:rPr>
      </w:pPr>
      <w:r>
        <w:rPr>
          <w:sz w:val="28"/>
        </w:rPr>
        <w:lastRenderedPageBreak/>
        <w:t>10. Działania realizowane w ramach siódmego typu projektu mogą stanowić osobny projekt jedynie w przypadku, gdy stanowią kompleksowe przedsięwzięcia edukacyjne prowadzone na terenie całego województwa.</w:t>
      </w:r>
    </w:p>
    <w:p w:rsidR="00BE25CB" w:rsidRDefault="004F760C">
      <w:pPr>
        <w:rPr>
          <w:b/>
          <w:sz w:val="28"/>
        </w:rPr>
      </w:pPr>
      <w:r>
        <w:rPr>
          <w:sz w:val="28"/>
        </w:rPr>
        <w:t>11. Przedsiębiorcy mogą ubiegać się o dofinansowanie wyłącznie w ramach piątego typu projektu jako partnerzy w projektach realizowanych przez administrację publiczną.</w:t>
      </w:r>
    </w:p>
    <w:p w:rsidR="00BE25CB" w:rsidRDefault="004F760C">
      <w:pPr>
        <w:rPr>
          <w:b/>
          <w:sz w:val="28"/>
        </w:rPr>
      </w:pPr>
      <w:r>
        <w:rPr>
          <w:sz w:val="28"/>
        </w:rPr>
        <w:t>Ukierunkowanie terytorialne:</w:t>
      </w:r>
    </w:p>
    <w:p w:rsidR="00BE25CB" w:rsidRDefault="004F760C">
      <w:pPr>
        <w:rPr>
          <w:b/>
          <w:sz w:val="28"/>
        </w:rPr>
      </w:pPr>
      <w:r>
        <w:rPr>
          <w:sz w:val="28"/>
        </w:rPr>
        <w:t>- gminy: Czersk, Łeba, Miastko, Pelplin (o ile nie są uprawnione do wsparcia w Działaniach 3.2. i 3.3.) – wszystkie typy projektów wskazane powyżej;</w:t>
      </w:r>
    </w:p>
    <w:p w:rsidR="00BE25CB" w:rsidRDefault="004F760C">
      <w:pPr>
        <w:rPr>
          <w:b/>
          <w:sz w:val="28"/>
        </w:rPr>
      </w:pPr>
      <w:r>
        <w:rPr>
          <w:sz w:val="28"/>
        </w:rPr>
        <w:t>- gminy: Brusy i Kępice (o ile nie są uprawnione do wsparcia w Działaniach 3.2. i 3.3.) – pierwszy, drugi, czwarty, piąty, szósty i siódmy z typów projektów wskazanych powyżej;</w:t>
      </w:r>
    </w:p>
    <w:p w:rsidR="00BE25CB" w:rsidRDefault="004F760C">
      <w:pPr>
        <w:rPr>
          <w:b/>
          <w:sz w:val="28"/>
        </w:rPr>
      </w:pPr>
      <w:r>
        <w:rPr>
          <w:sz w:val="28"/>
        </w:rPr>
        <w:t>- gminy: Nowy Dwór Gdański i Prabuty (o ile nie są uprawnione do wsparcia w Działaniach 3.2. i 3.3.) – trzeci, czwarty, szósty i siódmy z typów projektów wskazanych powyżej;</w:t>
      </w:r>
    </w:p>
    <w:p w:rsidR="00BE25CB" w:rsidRDefault="004F760C">
      <w:pPr>
        <w:rPr>
          <w:b/>
          <w:sz w:val="28"/>
        </w:rPr>
      </w:pPr>
      <w:r>
        <w:rPr>
          <w:sz w:val="28"/>
        </w:rPr>
        <w:t>- gminy: Czarna Woda, Czarne, Debrzno, Dzierzgoń, Gniew, Krynica Morska, Skarszewy, Skórcz (o ile nie są uprawnione do wsparcia w Działaniach 3.2 i 3.3.) – czwarty, szósty i siódmy z typów projektów wskazanych powyżej;</w:t>
      </w:r>
    </w:p>
    <w:p w:rsidR="00BE25CB" w:rsidRDefault="004F760C">
      <w:pPr>
        <w:rPr>
          <w:b/>
          <w:sz w:val="28"/>
        </w:rPr>
      </w:pPr>
      <w:r>
        <w:rPr>
          <w:sz w:val="28"/>
        </w:rPr>
        <w:t>- obszar całego województwa – wyłącznie w przypadku 7 typu projektu.</w:t>
      </w:r>
    </w:p>
    <w:p w:rsidR="00BE25CB" w:rsidRDefault="004F760C">
      <w:pPr>
        <w:rPr>
          <w:b/>
          <w:sz w:val="28"/>
        </w:rPr>
      </w:pPr>
      <w:r>
        <w:rPr>
          <w:sz w:val="28"/>
        </w:rPr>
        <w:t xml:space="preserve">Preferowane będą projekty: </w:t>
      </w:r>
    </w:p>
    <w:p w:rsidR="00BE25CB" w:rsidRDefault="004F760C">
      <w:pPr>
        <w:rPr>
          <w:b/>
          <w:sz w:val="28"/>
        </w:rPr>
      </w:pPr>
      <w:r>
        <w:rPr>
          <w:sz w:val="28"/>
        </w:rPr>
        <w:t>- uzgodnione w ramach Zintegrowanych Porozumień Terytorialnych;</w:t>
      </w:r>
    </w:p>
    <w:p w:rsidR="00BE25CB" w:rsidRDefault="004F760C">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BE25CB" w:rsidRDefault="004F760C">
      <w:pPr>
        <w:rPr>
          <w:b/>
          <w:sz w:val="28"/>
        </w:rPr>
      </w:pPr>
      <w:r>
        <w:rPr>
          <w:sz w:val="28"/>
        </w:rPr>
        <w:t>- uwzględniające działania wyrównujące szanse grup zagrożonych dyskryminacją;</w:t>
      </w:r>
    </w:p>
    <w:p w:rsidR="00BE25CB" w:rsidRDefault="004F760C">
      <w:pPr>
        <w:rPr>
          <w:b/>
          <w:sz w:val="28"/>
        </w:rPr>
      </w:pPr>
      <w:r>
        <w:rPr>
          <w:sz w:val="28"/>
        </w:rPr>
        <w:t>- zgodne z Planem Zrównoważonej Mobilności Miejskiej (SUMP) dla właściwego względem miejsca inwestycji miejskiego obszaru funkcjonalnego:</w:t>
      </w:r>
    </w:p>
    <w:p w:rsidR="00BE25CB" w:rsidRDefault="004F760C">
      <w:pPr>
        <w:rPr>
          <w:b/>
          <w:sz w:val="28"/>
        </w:rPr>
      </w:pPr>
      <w:r>
        <w:rPr>
          <w:sz w:val="28"/>
        </w:rPr>
        <w:lastRenderedPageBreak/>
        <w:t>• sporządzonym zgodnie z wymogami określonymi we właściwym Komunikacie Komisji dotyczącym SUMP oraz rozporządzeniem UE w sprawie sieci TEN-T;</w:t>
      </w:r>
    </w:p>
    <w:p w:rsidR="00BE25CB" w:rsidRDefault="004F760C">
      <w:pPr>
        <w:rPr>
          <w:b/>
          <w:sz w:val="28"/>
        </w:rPr>
      </w:pPr>
      <w:r>
        <w:rPr>
          <w:sz w:val="28"/>
        </w:rPr>
        <w:t>• przyjętym przez organ właściwy terytorialnie oraz rzeczowo, w formie zapewniającej jego praktyczną realizację.</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t>85</w:t>
      </w:r>
    </w:p>
    <w:p w:rsidR="00BE25CB" w:rsidRDefault="004F760C">
      <w:pPr>
        <w:rPr>
          <w:b/>
          <w:sz w:val="28"/>
        </w:rPr>
      </w:pPr>
      <w:r>
        <w:rPr>
          <w:b/>
          <w:sz w:val="28"/>
        </w:rPr>
        <w:t>Pomoc publiczna – unijna podstawa prawna</w:t>
      </w:r>
    </w:p>
    <w:p w:rsidR="00BE25CB" w:rsidRDefault="004F760C">
      <w:pPr>
        <w:rPr>
          <w:b/>
          <w:sz w:val="28"/>
        </w:rPr>
      </w:pPr>
      <w:r>
        <w:rPr>
          <w:sz w:val="28"/>
        </w:rP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r>
        <w:rPr>
          <w:sz w:val="28"/>
        </w:rPr>
        <w:t>,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BE25CB" w:rsidRDefault="004F760C">
      <w:pPr>
        <w:rPr>
          <w:b/>
          <w:sz w:val="28"/>
        </w:rPr>
      </w:pPr>
      <w:r>
        <w:rPr>
          <w:b/>
          <w:sz w:val="28"/>
        </w:rPr>
        <w:t>Pomoc publiczna – krajowa podstawa prawna</w:t>
      </w:r>
    </w:p>
    <w:p w:rsidR="00BE25CB" w:rsidRDefault="004F760C">
      <w:pPr>
        <w:rPr>
          <w:b/>
          <w:sz w:val="28"/>
        </w:rPr>
      </w:pPr>
      <w:r>
        <w:rPr>
          <w:sz w:val="28"/>
        </w:rPr>
        <w:lastRenderedPageBreak/>
        <w:t xml:space="preserve">Bez pomocy, W przygotowaniu,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t>Minimalna wartość projektu</w:t>
      </w:r>
    </w:p>
    <w:p w:rsidR="00BE25CB" w:rsidRDefault="004F760C">
      <w:pPr>
        <w:rPr>
          <w:b/>
          <w:sz w:val="28"/>
        </w:rPr>
      </w:pPr>
      <w:r>
        <w:rPr>
          <w:sz w:val="28"/>
        </w:rPr>
        <w:t>1 000 000,00</w:t>
      </w:r>
    </w:p>
    <w:p w:rsidR="00BE25CB" w:rsidRDefault="004F760C">
      <w:pPr>
        <w:rPr>
          <w:b/>
          <w:sz w:val="28"/>
        </w:rPr>
      </w:pPr>
      <w:r>
        <w:rPr>
          <w:b/>
          <w:sz w:val="28"/>
        </w:rPr>
        <w:t>Sposób wyboru projektów</w:t>
      </w:r>
    </w:p>
    <w:p w:rsidR="00BE25CB" w:rsidRDefault="004F760C">
      <w:pPr>
        <w:rPr>
          <w:b/>
          <w:sz w:val="28"/>
        </w:rPr>
      </w:pPr>
      <w:r>
        <w:rPr>
          <w:sz w:val="28"/>
        </w:rPr>
        <w:t>Konkurencyjny</w:t>
      </w:r>
    </w:p>
    <w:p w:rsidR="00BE25CB" w:rsidRDefault="004F760C">
      <w:pPr>
        <w:rPr>
          <w:b/>
          <w:sz w:val="28"/>
        </w:rPr>
      </w:pPr>
      <w:r>
        <w:rPr>
          <w:b/>
          <w:sz w:val="28"/>
        </w:rPr>
        <w:t>Realizacja instrumentów terytorialnych</w:t>
      </w:r>
    </w:p>
    <w:p w:rsidR="00BE25CB" w:rsidRDefault="004F760C">
      <w:pPr>
        <w:rPr>
          <w:b/>
          <w:sz w:val="28"/>
        </w:rPr>
      </w:pPr>
      <w:r>
        <w:rPr>
          <w:sz w:val="28"/>
        </w:rPr>
        <w:t>Nie dotyczy</w:t>
      </w:r>
    </w:p>
    <w:p w:rsidR="00BE25CB" w:rsidRDefault="004F760C">
      <w:pPr>
        <w:rPr>
          <w:b/>
          <w:sz w:val="28"/>
        </w:rPr>
      </w:pPr>
      <w:r>
        <w:rPr>
          <w:b/>
          <w:sz w:val="28"/>
        </w:rPr>
        <w:t>Typ beneficjenta – ogólny</w:t>
      </w:r>
    </w:p>
    <w:p w:rsidR="00BE25CB" w:rsidRDefault="004F760C">
      <w:pPr>
        <w:rPr>
          <w:b/>
          <w:sz w:val="28"/>
        </w:rPr>
      </w:pPr>
      <w:r>
        <w:rPr>
          <w:sz w:val="28"/>
        </w:rPr>
        <w:t>Administracja publiczna, Przedsiębiorstwa, Przedsiębiorstwa realizujące cele publiczne, Służby publiczne</w:t>
      </w:r>
    </w:p>
    <w:p w:rsidR="00BE25CB" w:rsidRDefault="004F760C">
      <w:pPr>
        <w:rPr>
          <w:b/>
          <w:sz w:val="28"/>
        </w:rPr>
      </w:pPr>
      <w:r>
        <w:rPr>
          <w:b/>
          <w:sz w:val="28"/>
        </w:rPr>
        <w:t>Typ beneficjenta – szczegółowy</w:t>
      </w:r>
    </w:p>
    <w:p w:rsidR="00BE25CB" w:rsidRDefault="004F760C">
      <w:pPr>
        <w:rPr>
          <w:b/>
          <w:sz w:val="28"/>
        </w:rPr>
      </w:pPr>
      <w:r>
        <w:rPr>
          <w:sz w:val="28"/>
        </w:rPr>
        <w:t xml:space="preserve">Jednostki organizacyjne działające w imieniu jednostek samorządu terytorialnego, MŚP, Zarządcy dróg publicznych, Organizatorzy i operatorzy publicznego transportu zbiorowego, Zarządcy infrastruktury dworcowej , Zarządcy </w:t>
      </w:r>
      <w:r>
        <w:rPr>
          <w:sz w:val="28"/>
        </w:rPr>
        <w:lastRenderedPageBreak/>
        <w:t>infrastruktury kolejowej, Duże przedsiębiorstwa, Jednostki Samorządu Terytorialnego</w:t>
      </w:r>
    </w:p>
    <w:p w:rsidR="00BE25CB" w:rsidRDefault="004F760C">
      <w:pPr>
        <w:rPr>
          <w:b/>
          <w:sz w:val="28"/>
        </w:rPr>
      </w:pPr>
      <w:r>
        <w:rPr>
          <w:b/>
          <w:sz w:val="28"/>
        </w:rPr>
        <w:t>Grupa docelowa</w:t>
      </w:r>
    </w:p>
    <w:p w:rsidR="00BE25CB" w:rsidRDefault="004F760C">
      <w:pPr>
        <w:rPr>
          <w:b/>
          <w:sz w:val="28"/>
        </w:rPr>
      </w:pPr>
      <w:r>
        <w:rPr>
          <w:sz w:val="28"/>
        </w:rPr>
        <w:t>użytkownicy indywidualni korzystający ze środków publicznego transportu zbiorowego, przedsiębiorcy korzystający z miejskiej infrastruktury transportowej, użytkownicy indywidualni korzystający z miejskiej infrastruktury transportowej</w:t>
      </w:r>
    </w:p>
    <w:p w:rsidR="00BE25CB" w:rsidRDefault="004F760C">
      <w:pPr>
        <w:rPr>
          <w:b/>
          <w:sz w:val="28"/>
        </w:rPr>
      </w:pPr>
      <w:r>
        <w:rPr>
          <w:b/>
          <w:sz w:val="28"/>
        </w:rPr>
        <w:t>Słowa kluczowe</w:t>
      </w:r>
    </w:p>
    <w:p w:rsidR="00BE25CB" w:rsidRDefault="004F760C">
      <w:pPr>
        <w:rPr>
          <w:b/>
          <w:sz w:val="28"/>
        </w:rPr>
      </w:pPr>
      <w:r>
        <w:rPr>
          <w:sz w:val="28"/>
        </w:rPr>
        <w:t xml:space="preserve">buspas, autobusy,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tabor_miejski</w:t>
      </w:r>
      <w:proofErr w:type="spellEnd"/>
      <w:r>
        <w:rPr>
          <w:sz w:val="28"/>
        </w:rPr>
        <w:t xml:space="preserve">, </w:t>
      </w:r>
      <w:proofErr w:type="spellStart"/>
      <w:r>
        <w:rPr>
          <w:sz w:val="28"/>
        </w:rPr>
        <w:t>bike_and_ride</w:t>
      </w:r>
      <w:proofErr w:type="spellEnd"/>
      <w:r>
        <w:rPr>
          <w:sz w:val="28"/>
        </w:rPr>
        <w:t>, węzły</w:t>
      </w:r>
    </w:p>
    <w:p w:rsidR="00BE25CB" w:rsidRDefault="004F760C">
      <w:pPr>
        <w:rPr>
          <w:b/>
          <w:sz w:val="28"/>
        </w:rPr>
      </w:pPr>
      <w:r>
        <w:rPr>
          <w:b/>
          <w:sz w:val="28"/>
        </w:rPr>
        <w:t>Wielkość podmiotu (w przypadku przedsiębiorstw)</w:t>
      </w:r>
    </w:p>
    <w:p w:rsidR="00BE25CB" w:rsidRDefault="004F760C">
      <w:pPr>
        <w:rPr>
          <w:b/>
          <w:sz w:val="28"/>
        </w:rPr>
      </w:pPr>
      <w:r>
        <w:rPr>
          <w:sz w:val="28"/>
        </w:rPr>
        <w:t>Duże, Średnie, Małe, Mikro</w:t>
      </w:r>
    </w:p>
    <w:p w:rsidR="00BE25CB" w:rsidRDefault="004F760C">
      <w:pPr>
        <w:rPr>
          <w:b/>
          <w:sz w:val="28"/>
        </w:rPr>
      </w:pPr>
      <w:r>
        <w:rPr>
          <w:b/>
          <w:sz w:val="28"/>
        </w:rPr>
        <w:t>Wskaźniki produktu</w:t>
      </w:r>
    </w:p>
    <w:p w:rsidR="00BE25CB" w:rsidRDefault="004F760C">
      <w:pPr>
        <w:rPr>
          <w:b/>
          <w:sz w:val="28"/>
        </w:rPr>
      </w:pPr>
      <w:r>
        <w:rPr>
          <w:sz w:val="28"/>
        </w:rPr>
        <w:t>WLWK-PLRO079 - Długość nowych linii autobusowych</w:t>
      </w:r>
    </w:p>
    <w:p w:rsidR="00BE25CB" w:rsidRDefault="004F760C">
      <w:pPr>
        <w:rPr>
          <w:b/>
          <w:sz w:val="28"/>
        </w:rPr>
      </w:pPr>
      <w:r>
        <w:rPr>
          <w:sz w:val="28"/>
        </w:rPr>
        <w:t>WLWK-PLRO082 - Długość przebudowanych lub zmodernizowanych linii autobusowych</w:t>
      </w:r>
    </w:p>
    <w:p w:rsidR="00BE25CB" w:rsidRDefault="004F760C">
      <w:pPr>
        <w:rPr>
          <w:b/>
          <w:sz w:val="28"/>
        </w:rPr>
      </w:pPr>
      <w:r>
        <w:rPr>
          <w:sz w:val="28"/>
        </w:rPr>
        <w:t>WLWK-PLRO081 - Długość przebudowanych lub zmodernizowanych linii autobusowych i trolejbusowych</w:t>
      </w:r>
    </w:p>
    <w:p w:rsidR="00BE25CB" w:rsidRDefault="004F760C">
      <w:pPr>
        <w:rPr>
          <w:b/>
          <w:sz w:val="28"/>
        </w:rPr>
      </w:pPr>
      <w:r>
        <w:rPr>
          <w:sz w:val="28"/>
        </w:rPr>
        <w:t>WLWK-RCO059 - Infrastruktura paliw alternatywnych (punkty tankowania/ładowania)</w:t>
      </w:r>
    </w:p>
    <w:p w:rsidR="00BE25CB" w:rsidRDefault="004F760C">
      <w:pPr>
        <w:rPr>
          <w:b/>
          <w:sz w:val="28"/>
        </w:rPr>
      </w:pPr>
      <w:r>
        <w:rPr>
          <w:sz w:val="28"/>
        </w:rPr>
        <w:t>WLWK-PLRO099 - Liczba przebudowanych i rozbudowanych zintegrowanych węzłów przesiadkowych</w:t>
      </w:r>
    </w:p>
    <w:p w:rsidR="00BE25CB" w:rsidRDefault="004F760C">
      <w:pPr>
        <w:rPr>
          <w:b/>
          <w:sz w:val="28"/>
        </w:rPr>
      </w:pPr>
      <w:r>
        <w:rPr>
          <w:sz w:val="28"/>
        </w:rPr>
        <w:t>WLWK-PLRO073 - Liczba przeprowadzonych kampanii informacyjno-edukacyjnych kształtujących świadomość ekologiczną</w:t>
      </w:r>
    </w:p>
    <w:p w:rsidR="00BE25CB" w:rsidRDefault="004F760C">
      <w:pPr>
        <w:rPr>
          <w:b/>
          <w:sz w:val="28"/>
        </w:rPr>
      </w:pPr>
      <w:r>
        <w:rPr>
          <w:sz w:val="28"/>
        </w:rPr>
        <w:t>WLWK-PLRO184 - Liczba wspartych publicznych systemów wypożyczania rowerów</w:t>
      </w:r>
    </w:p>
    <w:p w:rsidR="00BE25CB" w:rsidRDefault="004F760C">
      <w:pPr>
        <w:rPr>
          <w:b/>
          <w:sz w:val="28"/>
        </w:rPr>
      </w:pPr>
      <w:r>
        <w:rPr>
          <w:sz w:val="28"/>
        </w:rPr>
        <w:t>WLWK-PLRO097 - Liczba wspartych zintegrowanych węzłów przesiadkowych</w:t>
      </w:r>
    </w:p>
    <w:p w:rsidR="00BE25CB" w:rsidRDefault="004F760C">
      <w:pPr>
        <w:rPr>
          <w:b/>
          <w:sz w:val="28"/>
        </w:rPr>
      </w:pPr>
      <w:r>
        <w:rPr>
          <w:sz w:val="28"/>
        </w:rPr>
        <w:lastRenderedPageBreak/>
        <w:t>WLWK-PLRO098 - Liczba wybudowanych zintegrowanych węzłów przesiadkowych</w:t>
      </w:r>
    </w:p>
    <w:p w:rsidR="00BE25CB" w:rsidRDefault="004F760C">
      <w:pPr>
        <w:rPr>
          <w:b/>
          <w:sz w:val="28"/>
        </w:rPr>
      </w:pPr>
      <w:r>
        <w:rPr>
          <w:sz w:val="28"/>
        </w:rPr>
        <w:t>WLWK-PLRO088 - Liczba zakupionych jednostek taboru autobusowego w publicznym transporcie zbiorowym komunikacji miejskiej i metropolitarnej</w:t>
      </w:r>
    </w:p>
    <w:p w:rsidR="00BE25CB" w:rsidRDefault="004F760C">
      <w:pPr>
        <w:rPr>
          <w:b/>
          <w:sz w:val="28"/>
        </w:rPr>
      </w:pPr>
      <w:r>
        <w:rPr>
          <w:sz w:val="28"/>
        </w:rPr>
        <w:t>WLWK-PLRO084 - Liczba zakupionych jednostek taboru pasażerskiego w publicznym transporcie zbiorowym komunikacji miejskiej i metropolitarnej</w:t>
      </w:r>
    </w:p>
    <w:p w:rsidR="00BE25CB" w:rsidRDefault="004F760C">
      <w:pPr>
        <w:rPr>
          <w:b/>
          <w:sz w:val="28"/>
        </w:rPr>
      </w:pPr>
      <w:r>
        <w:rPr>
          <w:sz w:val="28"/>
        </w:rPr>
        <w:t>WLWK-RCO060 - Miasta z nowymi lub zmodernizowanymi cyfrowymi systemami transportu miejskiego</w:t>
      </w:r>
    </w:p>
    <w:p w:rsidR="00BE25CB" w:rsidRDefault="004F760C">
      <w:pPr>
        <w:rPr>
          <w:b/>
          <w:sz w:val="28"/>
        </w:rPr>
      </w:pPr>
      <w:r>
        <w:rPr>
          <w:sz w:val="28"/>
        </w:rPr>
        <w:t>WLWK-RCO057 - Pojemność ekologicznego taboru do zbiorowego transportu publicznego</w:t>
      </w:r>
    </w:p>
    <w:p w:rsidR="00BE25CB" w:rsidRDefault="004F760C">
      <w:pPr>
        <w:rPr>
          <w:b/>
          <w:sz w:val="28"/>
        </w:rPr>
      </w:pPr>
      <w:r>
        <w:rPr>
          <w:sz w:val="28"/>
        </w:rPr>
        <w:t>WLWK-RCO058 - Wspierana infrastruktura rowerowa</w:t>
      </w:r>
    </w:p>
    <w:p w:rsidR="00BE25CB" w:rsidRDefault="004F760C">
      <w:pPr>
        <w:rPr>
          <w:b/>
          <w:sz w:val="28"/>
        </w:rPr>
      </w:pPr>
      <w:r>
        <w:rPr>
          <w:b/>
          <w:sz w:val="28"/>
        </w:rPr>
        <w:t>Wskaźniki rezultatu</w:t>
      </w:r>
    </w:p>
    <w:p w:rsidR="00BE25CB" w:rsidRDefault="004F760C">
      <w:pPr>
        <w:rPr>
          <w:b/>
          <w:sz w:val="28"/>
        </w:rPr>
      </w:pPr>
      <w:r>
        <w:rPr>
          <w:sz w:val="28"/>
        </w:rPr>
        <w:t>WLWK-PLRR047 - Liczba ludności korzystającej z nowych lub zmodernizowanych cyfrowych systemów transportu miejskiego</w:t>
      </w:r>
    </w:p>
    <w:p w:rsidR="00BE25CB" w:rsidRDefault="004F760C">
      <w:pPr>
        <w:rPr>
          <w:b/>
          <w:sz w:val="28"/>
        </w:rPr>
      </w:pPr>
      <w:r>
        <w:rPr>
          <w:sz w:val="28"/>
        </w:rPr>
        <w:t>WLWK-PLRR046 - Objętość paliwa wykorzystanego we wspartej infrastrukturze paliw alternatywnych</w:t>
      </w:r>
    </w:p>
    <w:p w:rsidR="00BE25CB" w:rsidRDefault="004F760C">
      <w:pPr>
        <w:rPr>
          <w:b/>
          <w:sz w:val="28"/>
        </w:rPr>
      </w:pPr>
      <w:r>
        <w:rPr>
          <w:sz w:val="28"/>
        </w:rPr>
        <w:t>WLWK-RCR064 - Roczna liczba użytkowników infrastruktury rowerowej</w:t>
      </w:r>
    </w:p>
    <w:p w:rsidR="00BE25CB" w:rsidRDefault="004F760C">
      <w:pPr>
        <w:rPr>
          <w:b/>
          <w:sz w:val="28"/>
        </w:rPr>
      </w:pPr>
      <w:r>
        <w:rPr>
          <w:sz w:val="28"/>
        </w:rPr>
        <w:t>WLWK-RCR062 - Roczna liczba użytkowników nowego lub zmodernizowanego transportu publicznego</w:t>
      </w:r>
    </w:p>
    <w:p w:rsidR="00BE25CB" w:rsidRDefault="004F760C">
      <w:pPr>
        <w:rPr>
          <w:b/>
          <w:sz w:val="28"/>
        </w:rPr>
      </w:pPr>
      <w:r>
        <w:rPr>
          <w:sz w:val="28"/>
        </w:rPr>
        <w:t>WLWK-RCR029 - Szacowana emisja gazów cieplarnianych</w:t>
      </w:r>
    </w:p>
    <w:p w:rsidR="00BE25CB" w:rsidRDefault="00BE25CB">
      <w:pPr>
        <w:rPr>
          <w:b/>
          <w:sz w:val="28"/>
        </w:rPr>
      </w:pPr>
    </w:p>
    <w:p w:rsidR="00BE25CB" w:rsidRDefault="004F760C">
      <w:pPr>
        <w:pStyle w:val="Nagwek3"/>
        <w:rPr>
          <w:rFonts w:ascii="Calibri" w:hAnsi="Calibri" w:cs="Calibri"/>
          <w:sz w:val="32"/>
        </w:rPr>
      </w:pPr>
      <w:bookmarkStart w:id="5" w:name="_Toc128650871"/>
      <w:r>
        <w:rPr>
          <w:rFonts w:ascii="Calibri" w:hAnsi="Calibri" w:cs="Calibri"/>
          <w:sz w:val="32"/>
        </w:rPr>
        <w:t>Działanie FEPM.03.02 Mobilność miejska – ZIT na terenie obszaru metropolitalnego</w:t>
      </w:r>
      <w:bookmarkEnd w:id="5"/>
    </w:p>
    <w:p w:rsidR="00BE25CB" w:rsidRDefault="00BE25CB">
      <w:pPr>
        <w:rPr>
          <w:rFonts w:ascii="Calibri" w:hAnsi="Calibri"/>
          <w:sz w:val="32"/>
        </w:rPr>
      </w:pPr>
    </w:p>
    <w:p w:rsidR="00BE25CB" w:rsidRDefault="004F760C">
      <w:pPr>
        <w:rPr>
          <w:b/>
          <w:sz w:val="28"/>
        </w:rPr>
      </w:pPr>
      <w:r>
        <w:rPr>
          <w:b/>
          <w:sz w:val="28"/>
        </w:rPr>
        <w:t>Cel szczegółowy</w:t>
      </w:r>
    </w:p>
    <w:p w:rsidR="00BE25CB" w:rsidRDefault="004F760C">
      <w:pPr>
        <w:rPr>
          <w:b/>
          <w:sz w:val="28"/>
        </w:rPr>
      </w:pPr>
      <w:r>
        <w:rPr>
          <w:sz w:val="28"/>
        </w:rPr>
        <w:lastRenderedPageBreak/>
        <w:t>EFRR/FS.CP2.VIII - Wspieranie zrównoważonej multimodalnej mobilności miejskiej jako elementu transformacji w kierunku gospodarki zeroemisyjnej</w:t>
      </w:r>
    </w:p>
    <w:p w:rsidR="00BE25CB" w:rsidRDefault="004F760C">
      <w:pPr>
        <w:rPr>
          <w:b/>
          <w:sz w:val="28"/>
        </w:rPr>
      </w:pPr>
      <w:r>
        <w:rPr>
          <w:b/>
          <w:sz w:val="28"/>
        </w:rPr>
        <w:t>Wysokość alokacji UE (EUR)</w:t>
      </w:r>
    </w:p>
    <w:p w:rsidR="00BE25CB" w:rsidRDefault="004F760C">
      <w:pPr>
        <w:rPr>
          <w:b/>
          <w:sz w:val="28"/>
        </w:rPr>
      </w:pPr>
      <w:r>
        <w:rPr>
          <w:sz w:val="28"/>
        </w:rPr>
        <w:t>63 308 456,00</w:t>
      </w:r>
    </w:p>
    <w:p w:rsidR="00BE25CB" w:rsidRDefault="004F760C">
      <w:pPr>
        <w:rPr>
          <w:b/>
          <w:sz w:val="28"/>
        </w:rPr>
      </w:pPr>
      <w:r>
        <w:rPr>
          <w:b/>
          <w:sz w:val="28"/>
        </w:rPr>
        <w:t>Zakres interwencji</w:t>
      </w:r>
    </w:p>
    <w:p w:rsidR="00BE25CB" w:rsidRDefault="004F760C">
      <w:pPr>
        <w:rPr>
          <w:b/>
          <w:sz w:val="28"/>
        </w:rPr>
      </w:pPr>
      <w:r>
        <w:rPr>
          <w:sz w:val="28"/>
        </w:rP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BE25CB" w:rsidRDefault="004F760C">
      <w:pPr>
        <w:rPr>
          <w:b/>
          <w:sz w:val="28"/>
        </w:rPr>
      </w:pPr>
      <w:r>
        <w:rPr>
          <w:b/>
          <w:sz w:val="28"/>
        </w:rPr>
        <w:t>Opis działania</w:t>
      </w:r>
    </w:p>
    <w:p w:rsidR="00BE25CB" w:rsidRDefault="004F760C">
      <w:pPr>
        <w:rPr>
          <w:b/>
          <w:sz w:val="28"/>
        </w:rPr>
      </w:pPr>
      <w:r>
        <w:rPr>
          <w:sz w:val="28"/>
        </w:rPr>
        <w:t>Działanie będzie realizowane we współpracy z Instytucją Pośredniczącą, której rolę pełnić będzie Stowarzyszenie Obszar Metropolitalny Gdańsk-Gdynia-Sopot.</w:t>
      </w:r>
    </w:p>
    <w:p w:rsidR="00BE25CB" w:rsidRDefault="004F760C">
      <w:pPr>
        <w:rPr>
          <w:b/>
          <w:sz w:val="28"/>
        </w:rPr>
      </w:pPr>
      <w:r>
        <w:rPr>
          <w:sz w:val="28"/>
        </w:rPr>
        <w:t xml:space="preserve">W ramach Działania wspierane będą projekty prowadzące do wzrostu znaczenia zrównoważonej zbiorowej i indywidualnej mobilności miejskiej, realizowane na terenie wskazanym w Strategii ZIT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BE25CB" w:rsidRDefault="004F760C">
      <w:pPr>
        <w:rPr>
          <w:b/>
          <w:sz w:val="28"/>
        </w:rPr>
      </w:pPr>
      <w:r>
        <w:rPr>
          <w:sz w:val="28"/>
        </w:rPr>
        <w:t>Typy projektów:</w:t>
      </w:r>
    </w:p>
    <w:p w:rsidR="00BE25CB" w:rsidRDefault="004F760C">
      <w:pPr>
        <w:rPr>
          <w:b/>
          <w:sz w:val="28"/>
        </w:rPr>
      </w:pPr>
      <w:r>
        <w:rPr>
          <w:sz w:val="28"/>
        </w:rPr>
        <w:t>1. Budowa, rozbudowa i przebudowa infrastruktury składającej się na węzeł integracyjny lub przystanek zintegrowany takiej jak:</w:t>
      </w:r>
    </w:p>
    <w:p w:rsidR="00BE25CB" w:rsidRDefault="004F760C">
      <w:pPr>
        <w:rPr>
          <w:b/>
          <w:sz w:val="28"/>
        </w:rPr>
      </w:pPr>
      <w:r>
        <w:rPr>
          <w:sz w:val="28"/>
        </w:rPr>
        <w:t>a) punktowa infrastruktura transportu zbiorowego służąca powiązaniu jego różnych form: m.in. pętle autobusowe, tramwajowe, trolejbusowe;</w:t>
      </w:r>
    </w:p>
    <w:p w:rsidR="00BE25CB" w:rsidRDefault="004F760C">
      <w:pPr>
        <w:rPr>
          <w:b/>
          <w:sz w:val="28"/>
        </w:rPr>
      </w:pPr>
      <w:r>
        <w:rPr>
          <w:sz w:val="28"/>
        </w:rPr>
        <w:lastRenderedPageBreak/>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BE25CB" w:rsidRDefault="004F760C">
      <w:pPr>
        <w:rPr>
          <w:b/>
          <w:sz w:val="28"/>
        </w:rPr>
      </w:pPr>
      <w:r>
        <w:rPr>
          <w:sz w:val="28"/>
        </w:rPr>
        <w:t xml:space="preserve">c) dworce kolejowe, autobusowe lub inne obiekty obsługi podróżnych; </w:t>
      </w:r>
    </w:p>
    <w:p w:rsidR="00BE25CB" w:rsidRDefault="004F760C">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BE25CB" w:rsidRDefault="004F760C">
      <w:pPr>
        <w:rPr>
          <w:b/>
          <w:sz w:val="28"/>
        </w:rPr>
      </w:pPr>
      <w:r>
        <w:rPr>
          <w:sz w:val="28"/>
        </w:rP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p>
    <w:p w:rsidR="00BE25CB" w:rsidRDefault="004F760C">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BE25CB" w:rsidRDefault="004F760C">
      <w:pPr>
        <w:rPr>
          <w:b/>
          <w:sz w:val="28"/>
        </w:rPr>
      </w:pPr>
      <w:r>
        <w:rPr>
          <w:sz w:val="28"/>
        </w:rPr>
        <w:t xml:space="preserve">4. Zakup zero i niskoemisyjnego taboru publicznego transportu zbiorowego, np. autobusów, tramwajów, trolejbusów oraz innych środków komunikacji; </w:t>
      </w:r>
    </w:p>
    <w:p w:rsidR="00BE25CB" w:rsidRDefault="004F760C">
      <w:pPr>
        <w:rPr>
          <w:b/>
          <w:sz w:val="28"/>
        </w:rPr>
      </w:pPr>
      <w:r>
        <w:rPr>
          <w:sz w:val="28"/>
        </w:rPr>
        <w:t xml:space="preserve">5. Rozwój infrastruktury ładowania i tankowania pojazdów zeroemisyjnych; </w:t>
      </w:r>
    </w:p>
    <w:p w:rsidR="00BE25CB" w:rsidRDefault="004F760C">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BE25CB" w:rsidRDefault="004F760C">
      <w:pPr>
        <w:rPr>
          <w:b/>
          <w:sz w:val="28"/>
        </w:rPr>
      </w:pPr>
      <w:r>
        <w:rPr>
          <w:sz w:val="28"/>
        </w:rPr>
        <w:t xml:space="preserve">a) systemów zarządzania transportem zbiorowym (w tym systemów sterowania ruchem pojazdów transportu zbiorowego); </w:t>
      </w:r>
    </w:p>
    <w:p w:rsidR="00BE25CB" w:rsidRDefault="004F760C">
      <w:pPr>
        <w:rPr>
          <w:b/>
          <w:sz w:val="28"/>
        </w:rPr>
      </w:pPr>
      <w:r>
        <w:rPr>
          <w:sz w:val="28"/>
        </w:rPr>
        <w:t xml:space="preserve">b) systemów monitoringu transportu zbiorowego i przystanków (m.in. systemów monitorowania bezpieczeństwa pasażerów); </w:t>
      </w:r>
    </w:p>
    <w:p w:rsidR="00BE25CB" w:rsidRDefault="004F760C">
      <w:pPr>
        <w:rPr>
          <w:b/>
          <w:sz w:val="28"/>
        </w:rPr>
      </w:pPr>
      <w:r>
        <w:rPr>
          <w:sz w:val="28"/>
        </w:rPr>
        <w:t xml:space="preserve">c) systemów informacji dla pasażerów transportu zbiorowego; </w:t>
      </w:r>
    </w:p>
    <w:p w:rsidR="00BE25CB" w:rsidRDefault="004F760C">
      <w:pPr>
        <w:rPr>
          <w:b/>
          <w:sz w:val="28"/>
        </w:rPr>
      </w:pPr>
      <w:r>
        <w:rPr>
          <w:sz w:val="28"/>
        </w:rPr>
        <w:lastRenderedPageBreak/>
        <w:t xml:space="preserve">d) systemów organizacji przewozów, w tym elektronicznych systemów pobierania opłat (bilet elektroniczny); </w:t>
      </w:r>
    </w:p>
    <w:p w:rsidR="00BE25CB" w:rsidRDefault="004F760C">
      <w:pPr>
        <w:rPr>
          <w:b/>
          <w:sz w:val="28"/>
        </w:rPr>
      </w:pPr>
      <w:r>
        <w:rPr>
          <w:sz w:val="28"/>
        </w:rPr>
        <w:t xml:space="preserve">e) aplikacji do planowania podróży. </w:t>
      </w:r>
    </w:p>
    <w:p w:rsidR="00BE25CB" w:rsidRDefault="004F760C">
      <w:pPr>
        <w:rPr>
          <w:b/>
          <w:sz w:val="28"/>
        </w:rPr>
      </w:pPr>
      <w:r>
        <w:rPr>
          <w:sz w:val="28"/>
        </w:rPr>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BE25CB" w:rsidRDefault="004F760C">
      <w:pPr>
        <w:rPr>
          <w:b/>
          <w:sz w:val="28"/>
        </w:rPr>
      </w:pPr>
      <w:r>
        <w:rPr>
          <w:sz w:val="28"/>
        </w:rPr>
        <w:t>Najważniejsze warunki realizacji projektów:</w:t>
      </w:r>
    </w:p>
    <w:p w:rsidR="00BE25CB" w:rsidRDefault="004F760C">
      <w:pPr>
        <w:rPr>
          <w:b/>
          <w:sz w:val="28"/>
        </w:rPr>
      </w:pPr>
      <w:r>
        <w:rPr>
          <w:sz w:val="28"/>
        </w:rPr>
        <w:t>1. Wsparcie uzyskać mogą wyłącznie projekty wpisane do Strategii ZIT dla Obszaru Metropolitalnego Gdańsk-Gdynia-Sopot;</w:t>
      </w:r>
    </w:p>
    <w:p w:rsidR="00BE25CB" w:rsidRDefault="004F760C">
      <w:pPr>
        <w:rPr>
          <w:b/>
          <w:sz w:val="28"/>
        </w:rPr>
      </w:pPr>
      <w:r>
        <w:rPr>
          <w:sz w:val="28"/>
        </w:rPr>
        <w:t>2. Projekty muszą być zgodne z zapisami Regionalnego Programu Strategicznego w zakresie mobilności i komunikacji, stanowiącego „Regionalny Plan Transportowy dla Województwa Pomorskiego 2030”;</w:t>
      </w:r>
    </w:p>
    <w:p w:rsidR="00BE25CB" w:rsidRDefault="004F760C">
      <w:pPr>
        <w:rPr>
          <w:b/>
          <w:sz w:val="28"/>
        </w:rPr>
      </w:pPr>
      <w:r>
        <w:rPr>
          <w:sz w:val="28"/>
        </w:rPr>
        <w:t>3. Projekty muszą być zgodne z Planem Zrównoważonej Mobilności Miejskiej (SUMP) dla Obszaru Metropolitalnego Gdańsk-Gdynia-Sopot:</w:t>
      </w:r>
    </w:p>
    <w:p w:rsidR="00BE25CB" w:rsidRDefault="004F760C">
      <w:pPr>
        <w:rPr>
          <w:b/>
          <w:sz w:val="28"/>
        </w:rPr>
      </w:pPr>
      <w:r>
        <w:rPr>
          <w:sz w:val="28"/>
        </w:rPr>
        <w:t>- sporządzonym zgodnie z wymogami określonymi we właściwym Komunikacie Komisji dotyczącym SUMP oraz rozporządzeniem UE w sprawie sieci TEN-T;</w:t>
      </w:r>
    </w:p>
    <w:p w:rsidR="00BE25CB" w:rsidRDefault="004F760C">
      <w:pPr>
        <w:rPr>
          <w:b/>
          <w:sz w:val="28"/>
        </w:rPr>
      </w:pPr>
      <w:r>
        <w:rPr>
          <w:sz w:val="28"/>
        </w:rPr>
        <w:t xml:space="preserve">- przyjętym przez organ właściwy terytorialnie oraz rzeczowo, w formie zapewniającej jego praktyczną realizację; </w:t>
      </w:r>
    </w:p>
    <w:p w:rsidR="00BE25CB" w:rsidRDefault="004F760C">
      <w:pPr>
        <w:rPr>
          <w:b/>
          <w:sz w:val="28"/>
        </w:rPr>
      </w:pPr>
      <w:r>
        <w:rPr>
          <w:sz w:val="28"/>
        </w:rPr>
        <w:t>4. Projekty na każdym etapie realizacji inwestycji muszą zapewnić poszanowanie praw podstawowych oraz przestrzeganie Karty praw podstawowych Unii Europejskiej tj.: być zgodne z zasadami horyzontalnymi dotyczącymi:</w:t>
      </w:r>
    </w:p>
    <w:p w:rsidR="00BE25CB" w:rsidRDefault="004F760C">
      <w:pPr>
        <w:rPr>
          <w:b/>
          <w:sz w:val="28"/>
        </w:rPr>
      </w:pPr>
      <w:r>
        <w:rPr>
          <w:sz w:val="28"/>
        </w:rPr>
        <w:t>- równości szans kobiet i mężczyzn,</w:t>
      </w:r>
    </w:p>
    <w:p w:rsidR="00BE25CB" w:rsidRDefault="004F760C">
      <w:pPr>
        <w:rPr>
          <w:b/>
          <w:sz w:val="28"/>
        </w:rPr>
      </w:pPr>
      <w:r>
        <w:rPr>
          <w:sz w:val="28"/>
        </w:rPr>
        <w:t>- zapobiegania wszelkiej dyskryminacji,</w:t>
      </w:r>
    </w:p>
    <w:p w:rsidR="00BE25CB" w:rsidRDefault="004F760C">
      <w:pPr>
        <w:rPr>
          <w:b/>
          <w:sz w:val="28"/>
        </w:rPr>
      </w:pPr>
      <w:r>
        <w:rPr>
          <w:sz w:val="28"/>
        </w:rPr>
        <w:t>- zapewnienia dostępności dla osób o ograniczonej mobilności oraz z niepełnosprawnościami,</w:t>
      </w:r>
    </w:p>
    <w:p w:rsidR="00BE25CB" w:rsidRDefault="004F760C">
      <w:pPr>
        <w:rPr>
          <w:b/>
          <w:sz w:val="28"/>
        </w:rPr>
      </w:pPr>
      <w:r>
        <w:rPr>
          <w:sz w:val="28"/>
        </w:rPr>
        <w:lastRenderedPageBreak/>
        <w:t>- wspierania zrównoważonego rozwoju, z uwzględnieniem zasady „nie czyń poważnych szkód” (DNSH),</w:t>
      </w:r>
    </w:p>
    <w:p w:rsidR="00BE25CB" w:rsidRDefault="004F760C">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BE25CB" w:rsidRDefault="004F760C">
      <w:pPr>
        <w:rPr>
          <w:b/>
          <w:sz w:val="28"/>
        </w:rPr>
      </w:pPr>
      <w:r>
        <w:rPr>
          <w:sz w:val="28"/>
        </w:rPr>
        <w:t xml:space="preserve">5. Dla pierwszego typu projektu: </w:t>
      </w:r>
    </w:p>
    <w:p w:rsidR="00BE25CB" w:rsidRDefault="004F760C">
      <w:pPr>
        <w:rPr>
          <w:b/>
          <w:sz w:val="28"/>
        </w:rPr>
      </w:pPr>
      <w:r>
        <w:rPr>
          <w:sz w:val="28"/>
        </w:rPr>
        <w:t>- nowe węzły integracyjne lub przystanki zintegrowane muszą być zlokalizowane poza obszarami centralnymi miast;</w:t>
      </w:r>
    </w:p>
    <w:p w:rsidR="00BE25CB" w:rsidRDefault="004F760C">
      <w:pPr>
        <w:rPr>
          <w:b/>
          <w:sz w:val="28"/>
        </w:rPr>
      </w:pPr>
      <w:r>
        <w:rPr>
          <w:sz w:val="28"/>
        </w:rP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BE25CB" w:rsidRDefault="004F760C">
      <w:pPr>
        <w:rPr>
          <w:b/>
          <w:sz w:val="28"/>
        </w:rPr>
      </w:pPr>
      <w:r>
        <w:rPr>
          <w:sz w:val="28"/>
        </w:rPr>
        <w:t>- budowa i rozbudowa obiektów typu „parkuj i jedź” może być realizowana wyłącznie poza obszarami centralnymi miast;</w:t>
      </w:r>
    </w:p>
    <w:p w:rsidR="00BE25CB" w:rsidRDefault="004F760C">
      <w:pPr>
        <w:rPr>
          <w:b/>
          <w:sz w:val="28"/>
        </w:rPr>
      </w:pPr>
      <w:r>
        <w:rPr>
          <w:sz w:val="28"/>
        </w:rPr>
        <w:t>6. Dla drugiego typu projektu:</w:t>
      </w:r>
    </w:p>
    <w:p w:rsidR="00BE25CB" w:rsidRDefault="004F760C">
      <w:pPr>
        <w:rPr>
          <w:b/>
          <w:sz w:val="28"/>
        </w:rPr>
      </w:pPr>
      <w:r>
        <w:rPr>
          <w:sz w:val="28"/>
        </w:rPr>
        <w:t>- budowana, rozbudowywana lub przebudowywana sieć drogowa na potrzeby linii autobusowych i trolejbusowych nie może być wykorzystywana dla indywidualnego ruchu samochodowego;</w:t>
      </w:r>
    </w:p>
    <w:p w:rsidR="00BE25CB" w:rsidRDefault="004F760C">
      <w:pPr>
        <w:rPr>
          <w:b/>
          <w:sz w:val="28"/>
        </w:rPr>
      </w:pPr>
      <w:r>
        <w:rPr>
          <w:sz w:val="28"/>
        </w:rPr>
        <w:t xml:space="preserve">7. Dla czwartego typu projektu: </w:t>
      </w:r>
    </w:p>
    <w:p w:rsidR="00BE25CB" w:rsidRDefault="004F760C">
      <w:pPr>
        <w:rPr>
          <w:b/>
          <w:sz w:val="28"/>
        </w:rPr>
      </w:pPr>
      <w:r>
        <w:rPr>
          <w:sz w:val="28"/>
        </w:rPr>
        <w:t>- pojazdy niskoemisyjne muszą spełniać wymogi dla ekologicznie czystych pojazdów w rozumieniu dyrektywy Parlamentu Europejskiego i Rady 2009/33/WE;</w:t>
      </w:r>
    </w:p>
    <w:p w:rsidR="00BE25CB" w:rsidRDefault="004F760C">
      <w:pPr>
        <w:rPr>
          <w:b/>
          <w:sz w:val="28"/>
        </w:rPr>
      </w:pPr>
      <w:r>
        <w:rPr>
          <w:sz w:val="28"/>
        </w:rPr>
        <w:t xml:space="preserve">8. Dla piątego typu projektu: </w:t>
      </w:r>
    </w:p>
    <w:p w:rsidR="00BE25CB" w:rsidRDefault="004F760C">
      <w:pPr>
        <w:rPr>
          <w:b/>
          <w:sz w:val="28"/>
        </w:rPr>
      </w:pPr>
      <w:r>
        <w:rPr>
          <w:sz w:val="28"/>
        </w:rPr>
        <w:t>- infrastruktura może być realizowana jedynie w przypadku braku możliwości finansowania jej ze źródeł prywatnych;</w:t>
      </w:r>
    </w:p>
    <w:p w:rsidR="00BE25CB" w:rsidRDefault="004F760C">
      <w:pPr>
        <w:rPr>
          <w:b/>
          <w:sz w:val="28"/>
        </w:rPr>
      </w:pPr>
      <w:r>
        <w:rPr>
          <w:sz w:val="28"/>
        </w:rPr>
        <w:t>- w przypadku infrastruktury dla użytkowników indywidualnych - należy zapewnić niedyskryminacyjny dostęp dla wszystkich użytkowników;</w:t>
      </w:r>
    </w:p>
    <w:p w:rsidR="00BE25CB" w:rsidRDefault="004F760C">
      <w:pPr>
        <w:rPr>
          <w:b/>
          <w:sz w:val="28"/>
        </w:rPr>
      </w:pPr>
      <w:r>
        <w:rPr>
          <w:sz w:val="28"/>
        </w:rPr>
        <w:lastRenderedPageBreak/>
        <w:t>9. Dla szóstego typu projektu:</w:t>
      </w:r>
    </w:p>
    <w:p w:rsidR="00BE25CB" w:rsidRDefault="004F760C">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BE25CB" w:rsidRDefault="004F760C">
      <w:pPr>
        <w:rPr>
          <w:b/>
          <w:sz w:val="28"/>
        </w:rPr>
      </w:pPr>
      <w:r>
        <w:rPr>
          <w:sz w:val="28"/>
        </w:rPr>
        <w:t>10. Działania realizowane w ramach siódmego typu projektu mogą stanowić osobny projekt jedynie w przypadku, gdy są komplementarne z założeniami kompleksowego przedsięwzięcia edukacyjnego prowadzonego na terenie całego województwa;</w:t>
      </w:r>
    </w:p>
    <w:p w:rsidR="00BE25CB" w:rsidRDefault="004F760C">
      <w:pPr>
        <w:rPr>
          <w:b/>
          <w:sz w:val="28"/>
        </w:rPr>
      </w:pPr>
      <w:r>
        <w:rPr>
          <w:sz w:val="28"/>
        </w:rPr>
        <w:t>11. Przedsiębiorcy mogą ubiegać się o dofinansowanie wyłącznie w ramach piątego typu projektu jako partnerzy w projektach realizowanych przez administrację publiczną.</w:t>
      </w:r>
    </w:p>
    <w:p w:rsidR="00BE25CB" w:rsidRDefault="004F760C">
      <w:pPr>
        <w:rPr>
          <w:b/>
          <w:sz w:val="28"/>
        </w:rPr>
      </w:pPr>
      <w:r>
        <w:rPr>
          <w:sz w:val="28"/>
        </w:rPr>
        <w:t>Ukierunkowanie terytorialne:</w:t>
      </w:r>
    </w:p>
    <w:p w:rsidR="00BE25CB" w:rsidRDefault="004F760C">
      <w:pPr>
        <w:rPr>
          <w:b/>
          <w:sz w:val="28"/>
        </w:rPr>
      </w:pPr>
      <w:r>
        <w:rPr>
          <w:sz w:val="28"/>
        </w:rPr>
        <w:t xml:space="preserve">Obszar wskazany w Strategii ZIT dla Obszaru Metropolitalnego Gdańsk-Gdynia-Sopot.  </w:t>
      </w:r>
    </w:p>
    <w:p w:rsidR="00BE25CB" w:rsidRDefault="004F760C">
      <w:pPr>
        <w:rPr>
          <w:b/>
          <w:sz w:val="28"/>
        </w:rPr>
      </w:pPr>
      <w:r>
        <w:rPr>
          <w:sz w:val="28"/>
        </w:rPr>
        <w:t xml:space="preserve">Preferowane będą projekty: </w:t>
      </w:r>
    </w:p>
    <w:p w:rsidR="00BE25CB" w:rsidRDefault="004F760C">
      <w:pPr>
        <w:rPr>
          <w:b/>
          <w:sz w:val="28"/>
        </w:rPr>
      </w:pPr>
      <w:r>
        <w:rPr>
          <w:sz w:val="28"/>
        </w:rPr>
        <w:t>- powiązane z wprowadzaniem integracji taryfowej oraz wdrażaniem koncepcji „Mobilność jako usługa” (</w:t>
      </w:r>
      <w:proofErr w:type="spellStart"/>
      <w:r>
        <w:rPr>
          <w:sz w:val="28"/>
        </w:rPr>
        <w:t>MaaS</w:t>
      </w:r>
      <w:proofErr w:type="spellEnd"/>
      <w:r>
        <w:rPr>
          <w:sz w:val="28"/>
        </w:rPr>
        <w:t>);</w:t>
      </w:r>
    </w:p>
    <w:p w:rsidR="00BE25CB" w:rsidRDefault="004F760C">
      <w:pPr>
        <w:rPr>
          <w:b/>
          <w:sz w:val="28"/>
        </w:rPr>
      </w:pPr>
      <w:r>
        <w:rPr>
          <w:sz w:val="28"/>
        </w:rPr>
        <w:t>- uwzględniające działania wyrównujące szanse grup zagrożonych dyskryminacją.</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lastRenderedPageBreak/>
        <w:t>85</w:t>
      </w:r>
    </w:p>
    <w:p w:rsidR="00BE25CB" w:rsidRDefault="004F760C">
      <w:pPr>
        <w:rPr>
          <w:b/>
          <w:sz w:val="28"/>
        </w:rPr>
      </w:pPr>
      <w:r>
        <w:rPr>
          <w:b/>
          <w:sz w:val="28"/>
        </w:rPr>
        <w:t>Pomoc publiczna – unijna podstawa prawna</w:t>
      </w:r>
    </w:p>
    <w:p w:rsidR="00BE25CB" w:rsidRDefault="004F760C">
      <w:pPr>
        <w:rPr>
          <w:b/>
          <w:sz w:val="28"/>
        </w:rPr>
      </w:pPr>
      <w:r>
        <w:rPr>
          <w:sz w:val="28"/>
        </w:rPr>
        <w:t xml:space="preserve">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czerwca 2014 r. uznające niektóre rodzaje pomocy za zgodne z rynkiem wewnętrznym w zastosowaniu art. 107 i 108 Traktatu,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Bez pomocy</w:t>
      </w:r>
    </w:p>
    <w:p w:rsidR="00BE25CB" w:rsidRDefault="004F760C">
      <w:pPr>
        <w:rPr>
          <w:b/>
          <w:sz w:val="28"/>
        </w:rPr>
      </w:pPr>
      <w:r>
        <w:rPr>
          <w:b/>
          <w:sz w:val="28"/>
        </w:rPr>
        <w:t>Pomoc publiczna – krajowa podstawa prawna</w:t>
      </w:r>
    </w:p>
    <w:p w:rsidR="00BE25CB" w:rsidRDefault="004F760C">
      <w:pPr>
        <w:rPr>
          <w:b/>
          <w:sz w:val="28"/>
        </w:rPr>
      </w:pPr>
      <w:r>
        <w:rPr>
          <w:sz w:val="28"/>
        </w:rPr>
        <w:t xml:space="preserve">W przygotowaniu,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lastRenderedPageBreak/>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t>Sposób wyboru projektów</w:t>
      </w:r>
    </w:p>
    <w:p w:rsidR="00BE25CB" w:rsidRDefault="004F760C">
      <w:pPr>
        <w:rPr>
          <w:b/>
          <w:sz w:val="28"/>
        </w:rPr>
      </w:pPr>
      <w:r>
        <w:rPr>
          <w:sz w:val="28"/>
        </w:rPr>
        <w:t>Niekonkurencyjny</w:t>
      </w:r>
    </w:p>
    <w:p w:rsidR="00BE25CB" w:rsidRDefault="004F760C">
      <w:pPr>
        <w:rPr>
          <w:b/>
          <w:sz w:val="28"/>
        </w:rPr>
      </w:pPr>
      <w:r>
        <w:rPr>
          <w:b/>
          <w:sz w:val="28"/>
        </w:rPr>
        <w:t>Realizacja instrumentów terytorialnych</w:t>
      </w:r>
    </w:p>
    <w:p w:rsidR="00BE25CB" w:rsidRDefault="004F760C">
      <w:pPr>
        <w:rPr>
          <w:b/>
          <w:sz w:val="28"/>
        </w:rPr>
      </w:pPr>
      <w:r>
        <w:rPr>
          <w:sz w:val="28"/>
        </w:rPr>
        <w:t>ZIT</w:t>
      </w:r>
    </w:p>
    <w:p w:rsidR="00BE25CB" w:rsidRDefault="004F760C">
      <w:pPr>
        <w:rPr>
          <w:b/>
          <w:sz w:val="28"/>
        </w:rPr>
      </w:pPr>
      <w:r>
        <w:rPr>
          <w:b/>
          <w:sz w:val="28"/>
        </w:rPr>
        <w:t>Typ beneficjenta – ogólny</w:t>
      </w:r>
    </w:p>
    <w:p w:rsidR="00BE25CB" w:rsidRDefault="004F760C">
      <w:pPr>
        <w:rPr>
          <w:b/>
          <w:sz w:val="28"/>
        </w:rPr>
      </w:pPr>
      <w:r>
        <w:rPr>
          <w:sz w:val="28"/>
        </w:rPr>
        <w:t>Przedsiębiorstwa, Przedsiębiorstwa realizujące cele publiczne, Służby publiczne, Administracja publiczna</w:t>
      </w:r>
    </w:p>
    <w:p w:rsidR="00BE25CB" w:rsidRDefault="004F760C">
      <w:pPr>
        <w:rPr>
          <w:b/>
          <w:sz w:val="28"/>
        </w:rPr>
      </w:pPr>
      <w:r>
        <w:rPr>
          <w:b/>
          <w:sz w:val="28"/>
        </w:rPr>
        <w:t>Typ beneficjenta – szczegółowy</w:t>
      </w:r>
    </w:p>
    <w:p w:rsidR="00BE25CB" w:rsidRDefault="004F760C">
      <w:pPr>
        <w:rPr>
          <w:b/>
          <w:sz w:val="28"/>
        </w:rPr>
      </w:pPr>
      <w:r>
        <w:rPr>
          <w:sz w:val="28"/>
        </w:rPr>
        <w:t>Jednostki Samorządu Terytorialnego, MŚP, Jednostki organizacyjne działające w imieniu jednostek samorządu terytorialnego, Duże przedsiębiorstwa, Organizatorzy i operatorzy publicznego transportu zbiorowego, Zarządcy infrastruktury kolejowej, Zarządcy infrastruktury dworcowej , Zarządcy dróg publicznych</w:t>
      </w:r>
    </w:p>
    <w:p w:rsidR="00BE25CB" w:rsidRDefault="004F760C">
      <w:pPr>
        <w:rPr>
          <w:b/>
          <w:sz w:val="28"/>
        </w:rPr>
      </w:pPr>
      <w:r>
        <w:rPr>
          <w:b/>
          <w:sz w:val="28"/>
        </w:rPr>
        <w:t>Grupa docelowa</w:t>
      </w:r>
    </w:p>
    <w:p w:rsidR="00BE25CB" w:rsidRDefault="004F760C">
      <w:pPr>
        <w:rPr>
          <w:b/>
          <w:sz w:val="28"/>
        </w:rPr>
      </w:pPr>
      <w:r>
        <w:rPr>
          <w:sz w:val="28"/>
        </w:rPr>
        <w:t>przedsiębiorcy korzystający z miejskiej infrastruktury transportowej, użytkownicy indywidualni korzystający ze środków publicznego transportu zbiorowego, użytkownicy indywidualni korzystający z miejskiej infrastruktury transportowej</w:t>
      </w:r>
    </w:p>
    <w:p w:rsidR="00BE25CB" w:rsidRDefault="004F760C">
      <w:pPr>
        <w:rPr>
          <w:b/>
          <w:sz w:val="28"/>
        </w:rPr>
      </w:pPr>
      <w:r>
        <w:rPr>
          <w:b/>
          <w:sz w:val="28"/>
        </w:rPr>
        <w:t>Słowa kluczowe</w:t>
      </w:r>
    </w:p>
    <w:p w:rsidR="00BE25CB" w:rsidRDefault="004F760C">
      <w:pPr>
        <w:rPr>
          <w:b/>
          <w:sz w:val="28"/>
        </w:rPr>
      </w:pPr>
      <w:r>
        <w:rPr>
          <w:sz w:val="28"/>
        </w:rPr>
        <w:t xml:space="preserve">węzły, </w:t>
      </w:r>
      <w:proofErr w:type="spellStart"/>
      <w:r>
        <w:rPr>
          <w:sz w:val="28"/>
        </w:rPr>
        <w:t>bike_and_ride</w:t>
      </w:r>
      <w:proofErr w:type="spellEnd"/>
      <w:r>
        <w:rPr>
          <w:sz w:val="28"/>
        </w:rPr>
        <w:t xml:space="preserve">, </w:t>
      </w:r>
      <w:proofErr w:type="spellStart"/>
      <w:r>
        <w:rPr>
          <w:sz w:val="28"/>
        </w:rPr>
        <w:t>tabor_miejski</w:t>
      </w:r>
      <w:proofErr w:type="spellEnd"/>
      <w:r>
        <w:rPr>
          <w:sz w:val="28"/>
        </w:rPr>
        <w:t xml:space="preserve">, </w:t>
      </w:r>
      <w:proofErr w:type="spellStart"/>
      <w:r>
        <w:rPr>
          <w:sz w:val="28"/>
        </w:rPr>
        <w:t>park_and_ride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czysty_transport</w:t>
      </w:r>
      <w:proofErr w:type="spellEnd"/>
      <w:r>
        <w:rPr>
          <w:sz w:val="28"/>
        </w:rPr>
        <w:t>, autobusy, buspas</w:t>
      </w:r>
    </w:p>
    <w:p w:rsidR="00BE25CB" w:rsidRDefault="004F760C">
      <w:pPr>
        <w:rPr>
          <w:b/>
          <w:sz w:val="28"/>
        </w:rPr>
      </w:pPr>
      <w:r>
        <w:rPr>
          <w:b/>
          <w:sz w:val="28"/>
        </w:rPr>
        <w:t>Wielkość podmiotu (w przypadku przedsiębiorstw)</w:t>
      </w:r>
    </w:p>
    <w:p w:rsidR="00BE25CB" w:rsidRDefault="004F760C">
      <w:pPr>
        <w:rPr>
          <w:b/>
          <w:sz w:val="28"/>
        </w:rPr>
      </w:pPr>
      <w:r>
        <w:rPr>
          <w:sz w:val="28"/>
        </w:rPr>
        <w:t>Mikro, Małe, Duże, Średnie</w:t>
      </w:r>
    </w:p>
    <w:p w:rsidR="00BE25CB" w:rsidRDefault="004F760C">
      <w:pPr>
        <w:rPr>
          <w:b/>
          <w:sz w:val="28"/>
        </w:rPr>
      </w:pPr>
      <w:r>
        <w:rPr>
          <w:b/>
          <w:sz w:val="28"/>
        </w:rPr>
        <w:t>Wskaźniki produktu</w:t>
      </w:r>
    </w:p>
    <w:p w:rsidR="00BE25CB" w:rsidRDefault="004F760C">
      <w:pPr>
        <w:rPr>
          <w:b/>
          <w:sz w:val="28"/>
        </w:rPr>
      </w:pPr>
      <w:r>
        <w:rPr>
          <w:sz w:val="28"/>
        </w:rPr>
        <w:lastRenderedPageBreak/>
        <w:t>WLWK-PLRO079 - Długość nowych linii autobusowych</w:t>
      </w:r>
    </w:p>
    <w:p w:rsidR="00BE25CB" w:rsidRDefault="004F760C">
      <w:pPr>
        <w:rPr>
          <w:b/>
          <w:sz w:val="28"/>
        </w:rPr>
      </w:pPr>
      <w:r>
        <w:rPr>
          <w:sz w:val="28"/>
        </w:rPr>
        <w:t>WLWK-PLRO080 - Długość nowych linii trolejbusowych</w:t>
      </w:r>
    </w:p>
    <w:p w:rsidR="00BE25CB" w:rsidRDefault="004F760C">
      <w:pPr>
        <w:rPr>
          <w:b/>
          <w:sz w:val="28"/>
        </w:rPr>
      </w:pPr>
      <w:r>
        <w:rPr>
          <w:sz w:val="28"/>
        </w:rPr>
        <w:t>WLWK-PLRO082 - Długość przebudowanych lub zmodernizowanych linii autobusowych</w:t>
      </w:r>
    </w:p>
    <w:p w:rsidR="00BE25CB" w:rsidRDefault="004F760C">
      <w:pPr>
        <w:rPr>
          <w:b/>
          <w:sz w:val="28"/>
        </w:rPr>
      </w:pPr>
      <w:r>
        <w:rPr>
          <w:sz w:val="28"/>
        </w:rPr>
        <w:t>WLWK-PLRO081 - Długość przebudowanych lub zmodernizowanych linii autobusowych i trolejbusowych</w:t>
      </w:r>
    </w:p>
    <w:p w:rsidR="00BE25CB" w:rsidRDefault="004F760C">
      <w:pPr>
        <w:rPr>
          <w:b/>
          <w:sz w:val="28"/>
        </w:rPr>
      </w:pPr>
      <w:r>
        <w:rPr>
          <w:sz w:val="28"/>
        </w:rPr>
        <w:t>WLWK-PLRO077 - Długość przebudowanych lub zmodernizowanych linii tramwajowych</w:t>
      </w:r>
    </w:p>
    <w:p w:rsidR="00BE25CB" w:rsidRDefault="004F760C">
      <w:pPr>
        <w:rPr>
          <w:b/>
          <w:sz w:val="28"/>
        </w:rPr>
      </w:pPr>
      <w:r>
        <w:rPr>
          <w:sz w:val="28"/>
        </w:rPr>
        <w:t>WLWK-PLRO083 - Długość przebudowanych lub zmodernizowanych linii trolejbusowych</w:t>
      </w:r>
    </w:p>
    <w:p w:rsidR="00BE25CB" w:rsidRDefault="004F760C">
      <w:pPr>
        <w:rPr>
          <w:b/>
          <w:sz w:val="28"/>
        </w:rPr>
      </w:pPr>
      <w:r>
        <w:rPr>
          <w:sz w:val="28"/>
        </w:rPr>
        <w:t>WLWK-PLRO075 - Długość wybudowanych linii tramwajowych</w:t>
      </w:r>
    </w:p>
    <w:p w:rsidR="00BE25CB" w:rsidRDefault="004F760C">
      <w:pPr>
        <w:rPr>
          <w:b/>
          <w:sz w:val="28"/>
        </w:rPr>
      </w:pPr>
      <w:r>
        <w:rPr>
          <w:sz w:val="28"/>
        </w:rPr>
        <w:t>WLWK-RCO059 - Infrastruktura paliw alternatywnych (punkty tankowania/ładowania)</w:t>
      </w:r>
    </w:p>
    <w:p w:rsidR="00BE25CB" w:rsidRDefault="004F760C">
      <w:pPr>
        <w:rPr>
          <w:b/>
          <w:sz w:val="28"/>
        </w:rPr>
      </w:pPr>
      <w:r>
        <w:rPr>
          <w:sz w:val="28"/>
        </w:rPr>
        <w:t>WLWK-PLRO099 - Liczba przebudowanych i rozbudowanych zintegrowanych węzłów przesiadkowych</w:t>
      </w:r>
    </w:p>
    <w:p w:rsidR="00BE25CB" w:rsidRDefault="004F760C">
      <w:pPr>
        <w:rPr>
          <w:b/>
          <w:sz w:val="28"/>
        </w:rPr>
      </w:pPr>
      <w:r>
        <w:rPr>
          <w:sz w:val="28"/>
        </w:rPr>
        <w:t>WLWK-PLRO073 - Liczba przeprowadzonych kampanii informacyjno-edukacyjnych kształtujących świadomość ekologiczną</w:t>
      </w:r>
    </w:p>
    <w:p w:rsidR="00BE25CB" w:rsidRDefault="004F760C">
      <w:pPr>
        <w:rPr>
          <w:b/>
          <w:sz w:val="28"/>
        </w:rPr>
      </w:pPr>
      <w:r>
        <w:rPr>
          <w:sz w:val="28"/>
        </w:rPr>
        <w:t>WLWK-PLRO184 - Liczba wspartych publicznych systemów wypożyczania rowerów</w:t>
      </w:r>
    </w:p>
    <w:p w:rsidR="00BE25CB" w:rsidRDefault="004F760C">
      <w:pPr>
        <w:rPr>
          <w:b/>
          <w:sz w:val="28"/>
        </w:rPr>
      </w:pPr>
      <w:r>
        <w:rPr>
          <w:sz w:val="28"/>
        </w:rPr>
        <w:t>WLWK-PLRO097 - Liczba wspartych zintegrowanych węzłów przesiadkowych</w:t>
      </w:r>
    </w:p>
    <w:p w:rsidR="00BE25CB" w:rsidRDefault="004F760C">
      <w:pPr>
        <w:rPr>
          <w:b/>
          <w:sz w:val="28"/>
        </w:rPr>
      </w:pPr>
      <w:r>
        <w:rPr>
          <w:sz w:val="28"/>
        </w:rPr>
        <w:t>WLWK-PLRO098 - Liczba wybudowanych zintegrowanych węzłów przesiadkowych</w:t>
      </w:r>
    </w:p>
    <w:p w:rsidR="00BE25CB" w:rsidRDefault="004F760C">
      <w:pPr>
        <w:rPr>
          <w:b/>
          <w:sz w:val="28"/>
        </w:rPr>
      </w:pPr>
      <w:r>
        <w:rPr>
          <w:sz w:val="28"/>
        </w:rPr>
        <w:t>WLWK-PLRO088 - Liczba zakupionych jednostek taboru autobusowego w publicznym transporcie zbiorowym komunikacji miejskiej i metropolitarnej</w:t>
      </w:r>
    </w:p>
    <w:p w:rsidR="00BE25CB" w:rsidRDefault="004F760C">
      <w:pPr>
        <w:rPr>
          <w:b/>
          <w:sz w:val="28"/>
        </w:rPr>
      </w:pPr>
      <w:r>
        <w:rPr>
          <w:sz w:val="28"/>
        </w:rPr>
        <w:t>WLWK-PLRO084 - Liczba zakupionych jednostek taboru pasażerskiego w publicznym transporcie zbiorowym komunikacji miejskiej i metropolitarnej</w:t>
      </w:r>
    </w:p>
    <w:p w:rsidR="00BE25CB" w:rsidRDefault="004F760C">
      <w:pPr>
        <w:rPr>
          <w:b/>
          <w:sz w:val="28"/>
        </w:rPr>
      </w:pPr>
      <w:r>
        <w:rPr>
          <w:sz w:val="28"/>
        </w:rPr>
        <w:lastRenderedPageBreak/>
        <w:t>WLWK-PLRO087 - Liczba zakupionych jednostek taboru tramwajowego w publicznym transporcie zbiorowym komunikacji miejskiej i metropolitarnej</w:t>
      </w:r>
    </w:p>
    <w:p w:rsidR="00BE25CB" w:rsidRDefault="004F760C">
      <w:pPr>
        <w:rPr>
          <w:b/>
          <w:sz w:val="28"/>
        </w:rPr>
      </w:pPr>
      <w:r>
        <w:rPr>
          <w:sz w:val="28"/>
        </w:rPr>
        <w:t>WLWK-PLRO089 - Liczba zakupionych jednostek taboru trolejbusowego w publicznym transporcie zbiorowym komunikacji miejskiej i metropolitarnej</w:t>
      </w:r>
    </w:p>
    <w:p w:rsidR="00BE25CB" w:rsidRDefault="004F760C">
      <w:pPr>
        <w:rPr>
          <w:b/>
          <w:sz w:val="28"/>
        </w:rPr>
      </w:pPr>
      <w:r>
        <w:rPr>
          <w:sz w:val="28"/>
        </w:rPr>
        <w:t>WLWK-RCO074 - Ludność objęta projektami w ramach strategii zintegrowanego rozwoju terytorialnego</w:t>
      </w:r>
    </w:p>
    <w:p w:rsidR="00BE25CB" w:rsidRDefault="004F760C">
      <w:pPr>
        <w:rPr>
          <w:b/>
          <w:sz w:val="28"/>
        </w:rPr>
      </w:pPr>
      <w:r>
        <w:rPr>
          <w:sz w:val="28"/>
        </w:rPr>
        <w:t>WLWK-RCO060 - Miasta z nowymi lub zmodernizowanymi cyfrowymi systemami transportu miejskiego</w:t>
      </w:r>
    </w:p>
    <w:p w:rsidR="00BE25CB" w:rsidRDefault="004F760C">
      <w:pPr>
        <w:rPr>
          <w:b/>
          <w:sz w:val="28"/>
        </w:rPr>
      </w:pPr>
      <w:r>
        <w:rPr>
          <w:sz w:val="28"/>
        </w:rPr>
        <w:t>WLWK-RCO057 - Pojemność ekologicznego taboru do zbiorowego transportu publicznego</w:t>
      </w:r>
    </w:p>
    <w:p w:rsidR="00BE25CB" w:rsidRDefault="004F760C">
      <w:pPr>
        <w:rPr>
          <w:b/>
          <w:sz w:val="28"/>
        </w:rPr>
      </w:pPr>
      <w:r>
        <w:rPr>
          <w:sz w:val="28"/>
        </w:rPr>
        <w:t>WLWK-RCO058 - Wspierana infrastruktura rowerowa</w:t>
      </w:r>
    </w:p>
    <w:p w:rsidR="00BE25CB" w:rsidRDefault="004F760C">
      <w:pPr>
        <w:rPr>
          <w:b/>
          <w:sz w:val="28"/>
        </w:rPr>
      </w:pPr>
      <w:r>
        <w:rPr>
          <w:sz w:val="28"/>
        </w:rPr>
        <w:t>WLWK-RCO075 - Wspierane strategie zintegrowanego rozwoju terytorialnego</w:t>
      </w:r>
    </w:p>
    <w:p w:rsidR="00BE25CB" w:rsidRDefault="004F760C">
      <w:pPr>
        <w:rPr>
          <w:b/>
          <w:sz w:val="28"/>
        </w:rPr>
      </w:pPr>
      <w:r>
        <w:rPr>
          <w:b/>
          <w:sz w:val="28"/>
        </w:rPr>
        <w:t>Wskaźniki rezultatu</w:t>
      </w:r>
    </w:p>
    <w:p w:rsidR="00BE25CB" w:rsidRDefault="004F760C">
      <w:pPr>
        <w:rPr>
          <w:b/>
          <w:sz w:val="28"/>
        </w:rPr>
      </w:pPr>
      <w:r>
        <w:rPr>
          <w:sz w:val="28"/>
        </w:rPr>
        <w:t>WLWK-PLRR047 - Liczba ludności korzystającej z nowych lub zmodernizowanych cyfrowych systemów transportu miejskiego</w:t>
      </w:r>
    </w:p>
    <w:p w:rsidR="00BE25CB" w:rsidRDefault="004F760C">
      <w:pPr>
        <w:rPr>
          <w:b/>
          <w:sz w:val="28"/>
        </w:rPr>
      </w:pPr>
      <w:r>
        <w:rPr>
          <w:sz w:val="28"/>
        </w:rPr>
        <w:t>WLWK-PLRR046 - Objętość paliwa wykorzystanego we wspartej infrastrukturze paliw alternatywnych</w:t>
      </w:r>
    </w:p>
    <w:p w:rsidR="00BE25CB" w:rsidRDefault="004F760C">
      <w:pPr>
        <w:rPr>
          <w:b/>
          <w:sz w:val="28"/>
        </w:rPr>
      </w:pPr>
      <w:r>
        <w:rPr>
          <w:sz w:val="28"/>
        </w:rPr>
        <w:t>WLWK-RCR064 - Roczna liczba użytkowników infrastruktury rowerowej</w:t>
      </w:r>
    </w:p>
    <w:p w:rsidR="00BE25CB" w:rsidRDefault="004F760C">
      <w:pPr>
        <w:rPr>
          <w:b/>
          <w:sz w:val="28"/>
        </w:rPr>
      </w:pPr>
      <w:r>
        <w:rPr>
          <w:sz w:val="28"/>
        </w:rPr>
        <w:t>WLWK-RCR062 - Roczna liczba użytkowników nowego lub zmodernizowanego transportu publicznego</w:t>
      </w:r>
    </w:p>
    <w:p w:rsidR="00BE25CB" w:rsidRDefault="004F760C">
      <w:pPr>
        <w:rPr>
          <w:b/>
          <w:sz w:val="28"/>
        </w:rPr>
      </w:pPr>
      <w:r>
        <w:rPr>
          <w:sz w:val="28"/>
        </w:rPr>
        <w:t>WLWK-RCR029 - Szacowana emisja gazów cieplarnianych</w:t>
      </w:r>
    </w:p>
    <w:p w:rsidR="00BE25CB" w:rsidRDefault="00BE25CB">
      <w:pPr>
        <w:rPr>
          <w:b/>
          <w:sz w:val="28"/>
        </w:rPr>
      </w:pPr>
    </w:p>
    <w:p w:rsidR="00BE25CB" w:rsidRDefault="004F760C">
      <w:pPr>
        <w:pStyle w:val="Nagwek3"/>
        <w:rPr>
          <w:rFonts w:ascii="Calibri" w:hAnsi="Calibri" w:cs="Calibri"/>
          <w:sz w:val="32"/>
        </w:rPr>
      </w:pPr>
      <w:bookmarkStart w:id="6" w:name="_Toc128650872"/>
      <w:r>
        <w:rPr>
          <w:rFonts w:ascii="Calibri" w:hAnsi="Calibri" w:cs="Calibri"/>
          <w:sz w:val="32"/>
        </w:rPr>
        <w:t>Działanie FEPM.03.03 Mobilność miejska – ZIT poza terenem obszaru metropolitalnego</w:t>
      </w:r>
      <w:bookmarkEnd w:id="6"/>
    </w:p>
    <w:p w:rsidR="00BE25CB" w:rsidRDefault="00BE25CB">
      <w:pPr>
        <w:rPr>
          <w:rFonts w:ascii="Calibri" w:hAnsi="Calibri"/>
          <w:sz w:val="32"/>
        </w:rPr>
      </w:pPr>
    </w:p>
    <w:p w:rsidR="00BE25CB" w:rsidRDefault="004F760C">
      <w:pPr>
        <w:rPr>
          <w:b/>
          <w:sz w:val="28"/>
        </w:rPr>
      </w:pPr>
      <w:r>
        <w:rPr>
          <w:b/>
          <w:sz w:val="28"/>
        </w:rPr>
        <w:lastRenderedPageBreak/>
        <w:t>Cel szczegółowy</w:t>
      </w:r>
    </w:p>
    <w:p w:rsidR="00BE25CB" w:rsidRDefault="004F760C">
      <w:pPr>
        <w:rPr>
          <w:b/>
          <w:sz w:val="28"/>
        </w:rPr>
      </w:pPr>
      <w:r>
        <w:rPr>
          <w:sz w:val="28"/>
        </w:rPr>
        <w:t>EFRR/FS.CP2.VIII - Wspieranie zrównoważonej multimodalnej mobilności miejskiej jako elementu transformacji w kierunku gospodarki zeroemisyjnej</w:t>
      </w:r>
    </w:p>
    <w:p w:rsidR="00BE25CB" w:rsidRDefault="004F760C">
      <w:pPr>
        <w:rPr>
          <w:b/>
          <w:sz w:val="28"/>
        </w:rPr>
      </w:pPr>
      <w:r>
        <w:rPr>
          <w:b/>
          <w:sz w:val="28"/>
        </w:rPr>
        <w:t>Wysokość alokacji UE (EUR)</w:t>
      </w:r>
    </w:p>
    <w:p w:rsidR="00BE25CB" w:rsidRDefault="004F760C">
      <w:pPr>
        <w:rPr>
          <w:b/>
          <w:sz w:val="28"/>
        </w:rPr>
      </w:pPr>
      <w:r>
        <w:rPr>
          <w:sz w:val="28"/>
        </w:rPr>
        <w:t>73 099 223,00</w:t>
      </w:r>
    </w:p>
    <w:p w:rsidR="00BE25CB" w:rsidRDefault="004F760C">
      <w:pPr>
        <w:rPr>
          <w:b/>
          <w:sz w:val="28"/>
        </w:rPr>
      </w:pPr>
      <w:r>
        <w:rPr>
          <w:b/>
          <w:sz w:val="28"/>
        </w:rPr>
        <w:t>Zakres interwencji</w:t>
      </w:r>
    </w:p>
    <w:p w:rsidR="00BE25CB" w:rsidRDefault="004F760C">
      <w:pPr>
        <w:rPr>
          <w:b/>
          <w:sz w:val="28"/>
        </w:rPr>
      </w:pPr>
      <w:r>
        <w:rPr>
          <w:sz w:val="28"/>
        </w:rPr>
        <w:t>086 - Infrastruktura paliw alternatywnych, 085 - Cyfryzacja transportu, gdy ma częściowo na celu redukcję emisji gazów cieplarnianych: transport miejski, 083 - Infrastruktura rowerowa, 082 - Tabor czystego transportu miejskiego, 081 - Infrastruktura czystego transportu miejskiego, 077 - Działania mające na celu poprawę jakości powietrza i ograniczenie hałasu</w:t>
      </w:r>
    </w:p>
    <w:p w:rsidR="00BE25CB" w:rsidRDefault="004F760C">
      <w:pPr>
        <w:rPr>
          <w:b/>
          <w:sz w:val="28"/>
        </w:rPr>
      </w:pPr>
      <w:r>
        <w:rPr>
          <w:b/>
          <w:sz w:val="28"/>
        </w:rPr>
        <w:t>Opis działania</w:t>
      </w:r>
    </w:p>
    <w:p w:rsidR="00BE25CB" w:rsidRDefault="004F760C">
      <w:pPr>
        <w:rPr>
          <w:b/>
          <w:sz w:val="28"/>
        </w:rPr>
      </w:pPr>
      <w:r>
        <w:rPr>
          <w:sz w:val="28"/>
        </w:rPr>
        <w:t>W ramach Działania wspierane będą projekty prowadzące do wzrostu znaczenia zrównoważonej zbiorowej i indywidualnej mobilności miejskiej, realizowane na terenach wskazanych w Strategiach ZIT dla Miejskich Obszarów Funkcjonalnych: Bytowa, Chojnic-Człuchowa, Kościerzyny, Kwidzyna, Lęborka, Malborka-Sztumu, Słupska-Ustki i Starogardu Gdańskiego.</w:t>
      </w:r>
    </w:p>
    <w:p w:rsidR="00BE25CB" w:rsidRDefault="004F760C">
      <w:pPr>
        <w:rPr>
          <w:b/>
          <w:sz w:val="28"/>
        </w:rPr>
      </w:pPr>
      <w:r>
        <w:rPr>
          <w:sz w:val="28"/>
        </w:rPr>
        <w:t xml:space="preserve">Interwencja ma na celu umocnienie pozycji transportu zbiorowego (mobilność zrównoważona) oraz ograniczenie emisji pochodzącej z transportu (mobilność niskoemisyjna), a jej realizacja przyczyni się do pogłębienia integracji oraz poprawy sprawności, atrakcyjności i </w:t>
      </w:r>
      <w:proofErr w:type="spellStart"/>
      <w:r>
        <w:rPr>
          <w:sz w:val="28"/>
        </w:rPr>
        <w:t>ekoefektywności</w:t>
      </w:r>
      <w:proofErr w:type="spellEnd"/>
      <w:r>
        <w:rPr>
          <w:sz w:val="28"/>
        </w:rPr>
        <w:t xml:space="preserve"> systemu transportu zbiorowego, tworzącego alternatywę dla indywidualnego transportu samochodowego.</w:t>
      </w:r>
    </w:p>
    <w:p w:rsidR="00BE25CB" w:rsidRDefault="004F760C">
      <w:pPr>
        <w:rPr>
          <w:b/>
          <w:sz w:val="28"/>
        </w:rPr>
      </w:pPr>
      <w:r>
        <w:rPr>
          <w:sz w:val="28"/>
        </w:rPr>
        <w:t>Typy projektów:</w:t>
      </w:r>
    </w:p>
    <w:p w:rsidR="00BE25CB" w:rsidRDefault="004F760C">
      <w:pPr>
        <w:rPr>
          <w:b/>
          <w:sz w:val="28"/>
        </w:rPr>
      </w:pPr>
      <w:r>
        <w:rPr>
          <w:sz w:val="28"/>
        </w:rPr>
        <w:t>1. Budowa, rozbudowa i przebudowa infrastruktury składającej się na węzeł integracyjny lub przystanek zintegrowany takiej jak:</w:t>
      </w:r>
    </w:p>
    <w:p w:rsidR="00BE25CB" w:rsidRDefault="004F760C">
      <w:pPr>
        <w:rPr>
          <w:b/>
          <w:sz w:val="28"/>
        </w:rPr>
      </w:pPr>
      <w:r>
        <w:rPr>
          <w:sz w:val="28"/>
        </w:rPr>
        <w:t>a) punktowa infrastruktura transportu zbiorowego służąca powiązaniu jego różnych form: m.in. pętle autobusowe;</w:t>
      </w:r>
    </w:p>
    <w:p w:rsidR="00BE25CB" w:rsidRDefault="004F760C">
      <w:pPr>
        <w:rPr>
          <w:b/>
          <w:sz w:val="28"/>
        </w:rPr>
      </w:pPr>
      <w:r>
        <w:rPr>
          <w:sz w:val="28"/>
        </w:rPr>
        <w:lastRenderedPageBreak/>
        <w:t>b) systemy parkingowe typu „parkuj i jedź” („</w:t>
      </w:r>
      <w:proofErr w:type="spellStart"/>
      <w:r>
        <w:rPr>
          <w:sz w:val="28"/>
        </w:rPr>
        <w:t>park&amp;ride</w:t>
      </w:r>
      <w:proofErr w:type="spellEnd"/>
      <w:r>
        <w:rPr>
          <w:sz w:val="28"/>
        </w:rPr>
        <w:t>”), „parkuj rower i jedź” („</w:t>
      </w:r>
      <w:proofErr w:type="spellStart"/>
      <w:r>
        <w:rPr>
          <w:sz w:val="28"/>
        </w:rPr>
        <w:t>bike&amp;ride</w:t>
      </w:r>
      <w:proofErr w:type="spellEnd"/>
      <w:r>
        <w:rPr>
          <w:sz w:val="28"/>
        </w:rPr>
        <w:t>”) oraz „podwieź i jedź” (</w:t>
      </w:r>
      <w:proofErr w:type="spellStart"/>
      <w:r>
        <w:rPr>
          <w:sz w:val="28"/>
        </w:rPr>
        <w:t>kiss&amp;ride</w:t>
      </w:r>
      <w:proofErr w:type="spellEnd"/>
      <w:r>
        <w:rPr>
          <w:sz w:val="28"/>
        </w:rPr>
        <w:t>”) wraz z towarzyszącą im infrastrukturą służącą obsłudze pasażerów;</w:t>
      </w:r>
    </w:p>
    <w:p w:rsidR="00BE25CB" w:rsidRDefault="004F760C">
      <w:pPr>
        <w:rPr>
          <w:b/>
          <w:sz w:val="28"/>
        </w:rPr>
      </w:pPr>
      <w:r>
        <w:rPr>
          <w:sz w:val="28"/>
        </w:rPr>
        <w:t xml:space="preserve">c) dworce kolejowe, autobusowe lub inne obiekty obsługi podróżnych; </w:t>
      </w:r>
    </w:p>
    <w:p w:rsidR="00BE25CB" w:rsidRDefault="004F760C">
      <w:pPr>
        <w:rPr>
          <w:b/>
          <w:sz w:val="28"/>
        </w:rPr>
      </w:pPr>
      <w:r>
        <w:rPr>
          <w:sz w:val="28"/>
        </w:rPr>
        <w:t>d) infrastruktura drogowa (wraz z narzędziami cyfrowymi) wykorzystywana w transporcie publicznym, do obsługi obiektów „parkuj i jedź” lub jej elementy ukierunkowane na bezpieczeństwo niechronionych użytkowników dróg (w tym pieszych i rowerzystów);</w:t>
      </w:r>
    </w:p>
    <w:p w:rsidR="00BE25CB" w:rsidRDefault="004F760C">
      <w:pPr>
        <w:rPr>
          <w:b/>
          <w:sz w:val="28"/>
        </w:rPr>
      </w:pPr>
      <w:r>
        <w:rPr>
          <w:sz w:val="28"/>
        </w:rPr>
        <w:t>2. Budowa, rozbudowa i przebudowa liniowej infrastruktury transportu autobusowego, w tym pętli, wydzielonych pasów ruchu (buspasów), zatok przystankowych;</w:t>
      </w:r>
    </w:p>
    <w:p w:rsidR="00BE25CB" w:rsidRDefault="004F760C">
      <w:pPr>
        <w:rPr>
          <w:b/>
          <w:sz w:val="28"/>
        </w:rPr>
      </w:pPr>
      <w:r>
        <w:rPr>
          <w:sz w:val="28"/>
        </w:rPr>
        <w:t xml:space="preserve">3. Budowa, rozbudowa i przebudowa infrastruktury transportu rowerowego, pieszego i pieszo-rowerowego, a także rozwój systemów </w:t>
      </w:r>
      <w:proofErr w:type="spellStart"/>
      <w:r>
        <w:rPr>
          <w:sz w:val="28"/>
        </w:rPr>
        <w:t>bike-sharingowych</w:t>
      </w:r>
      <w:proofErr w:type="spellEnd"/>
      <w:r>
        <w:rPr>
          <w:sz w:val="28"/>
        </w:rPr>
        <w:t>;</w:t>
      </w:r>
    </w:p>
    <w:p w:rsidR="00BE25CB" w:rsidRDefault="004F760C">
      <w:pPr>
        <w:rPr>
          <w:b/>
          <w:sz w:val="28"/>
        </w:rPr>
      </w:pPr>
      <w:r>
        <w:rPr>
          <w:sz w:val="28"/>
        </w:rPr>
        <w:t xml:space="preserve">4. Zakup zero i niskoemisyjnego taboru publicznego transportu zbiorowego np. autobusów; </w:t>
      </w:r>
    </w:p>
    <w:p w:rsidR="00BE25CB" w:rsidRDefault="004F760C">
      <w:pPr>
        <w:rPr>
          <w:b/>
          <w:sz w:val="28"/>
        </w:rPr>
      </w:pPr>
      <w:r>
        <w:rPr>
          <w:sz w:val="28"/>
        </w:rPr>
        <w:t xml:space="preserve">5. Rozwój infrastruktury ładowania i tankowania pojazdów zeroemisyjnych; </w:t>
      </w:r>
    </w:p>
    <w:p w:rsidR="00BE25CB" w:rsidRDefault="004F760C">
      <w:pPr>
        <w:rPr>
          <w:b/>
          <w:sz w:val="28"/>
        </w:rPr>
      </w:pPr>
      <w:r>
        <w:rPr>
          <w:sz w:val="28"/>
        </w:rPr>
        <w:t>6. Przedsięwzięcia służące cyfryzacji transportu miejskiego, poprawiające funkcjonowanie, konkurencyjność i bezpieczeństwo publicznego transportu zbiorowego, w szczególności utworzenie lub rozwój:</w:t>
      </w:r>
    </w:p>
    <w:p w:rsidR="00BE25CB" w:rsidRDefault="004F760C">
      <w:pPr>
        <w:rPr>
          <w:b/>
          <w:sz w:val="28"/>
        </w:rPr>
      </w:pPr>
      <w:r>
        <w:rPr>
          <w:sz w:val="28"/>
        </w:rPr>
        <w:t xml:space="preserve">a) systemów zarządzania transportem zbiorowym (w tym systemów sterowania ruchem pojazdów transportu zbiorowego); </w:t>
      </w:r>
    </w:p>
    <w:p w:rsidR="00BE25CB" w:rsidRDefault="004F760C">
      <w:pPr>
        <w:rPr>
          <w:b/>
          <w:sz w:val="28"/>
        </w:rPr>
      </w:pPr>
      <w:r>
        <w:rPr>
          <w:sz w:val="28"/>
        </w:rPr>
        <w:t xml:space="preserve">b) systemów monitoringu transportu zbiorowego i przystanków (m.in. systemów monitorowania bezpieczeństwa pasażerów); </w:t>
      </w:r>
    </w:p>
    <w:p w:rsidR="00BE25CB" w:rsidRDefault="004F760C">
      <w:pPr>
        <w:rPr>
          <w:b/>
          <w:sz w:val="28"/>
        </w:rPr>
      </w:pPr>
      <w:r>
        <w:rPr>
          <w:sz w:val="28"/>
        </w:rPr>
        <w:t xml:space="preserve">c) systemów informacji dla pasażerów transportu zbiorowego; </w:t>
      </w:r>
    </w:p>
    <w:p w:rsidR="00BE25CB" w:rsidRDefault="004F760C">
      <w:pPr>
        <w:rPr>
          <w:b/>
          <w:sz w:val="28"/>
        </w:rPr>
      </w:pPr>
      <w:r>
        <w:rPr>
          <w:sz w:val="28"/>
        </w:rPr>
        <w:t xml:space="preserve">d) systemów organizacji przewozów, w tym elektronicznych systemów pobierania opłat (bilet elektroniczny); </w:t>
      </w:r>
    </w:p>
    <w:p w:rsidR="00BE25CB" w:rsidRDefault="004F760C">
      <w:pPr>
        <w:rPr>
          <w:b/>
          <w:sz w:val="28"/>
        </w:rPr>
      </w:pPr>
      <w:r>
        <w:rPr>
          <w:sz w:val="28"/>
        </w:rPr>
        <w:t xml:space="preserve">e) aplikacji do planowania podróży. </w:t>
      </w:r>
    </w:p>
    <w:p w:rsidR="00BE25CB" w:rsidRDefault="004F760C">
      <w:pPr>
        <w:rPr>
          <w:b/>
          <w:sz w:val="28"/>
        </w:rPr>
      </w:pPr>
      <w:r>
        <w:rPr>
          <w:sz w:val="28"/>
        </w:rPr>
        <w:lastRenderedPageBreak/>
        <w:t xml:space="preserve">7. Działania edukacyjne dotyczące racjonalnych </w:t>
      </w:r>
      <w:proofErr w:type="spellStart"/>
      <w:r>
        <w:rPr>
          <w:sz w:val="28"/>
        </w:rPr>
        <w:t>zachowań</w:t>
      </w:r>
      <w:proofErr w:type="spellEnd"/>
      <w:r>
        <w:rPr>
          <w:sz w:val="28"/>
        </w:rPr>
        <w:t xml:space="preserve"> transportowych prowadzące do ograniczenia popytu na transport, wzrostu bezpieczeństwa i obniżenia negatywnego wpływu sektora transportu na środowisko.</w:t>
      </w:r>
    </w:p>
    <w:p w:rsidR="00BE25CB" w:rsidRDefault="004F760C">
      <w:pPr>
        <w:rPr>
          <w:b/>
          <w:sz w:val="28"/>
        </w:rPr>
      </w:pPr>
      <w:r>
        <w:rPr>
          <w:sz w:val="28"/>
        </w:rPr>
        <w:t>Najważniejsze warunki realizacji projektów:</w:t>
      </w:r>
    </w:p>
    <w:p w:rsidR="00BE25CB" w:rsidRDefault="004F760C">
      <w:pPr>
        <w:rPr>
          <w:b/>
          <w:sz w:val="28"/>
        </w:rPr>
      </w:pPr>
      <w:r>
        <w:rPr>
          <w:sz w:val="28"/>
        </w:rPr>
        <w:t xml:space="preserve">1. Wsparcie uzyskać mogą wyłącznie projekty wpisane do Strategii ZIT dla Miejskich Obszarów Funkcjonalnych właściwej dla obszaru ich realizacji; </w:t>
      </w:r>
    </w:p>
    <w:p w:rsidR="00BE25CB" w:rsidRDefault="004F760C">
      <w:pPr>
        <w:rPr>
          <w:b/>
          <w:sz w:val="28"/>
        </w:rPr>
      </w:pPr>
      <w:r>
        <w:rPr>
          <w:sz w:val="28"/>
        </w:rPr>
        <w:t>2. Projekty muszą być zgodne z zapisami Regionalnego Programu Strategicznego w zakresie mobilności i komunikacji, stanowiącego „Regionalny Plan Transportowy dla Województwa Pomorskiego 2030”;</w:t>
      </w:r>
    </w:p>
    <w:p w:rsidR="00BE25CB" w:rsidRDefault="004F760C">
      <w:pPr>
        <w:rPr>
          <w:b/>
          <w:sz w:val="28"/>
        </w:rPr>
      </w:pPr>
      <w:r>
        <w:rPr>
          <w:sz w:val="28"/>
        </w:rPr>
        <w:t xml:space="preserve">3. Projekty muszą być zgodne z dokumentem dotyczącym planowania mobilności przyjętym dla obszaru, na którym realizowana jest inwestycja; </w:t>
      </w:r>
    </w:p>
    <w:p w:rsidR="00BE25CB" w:rsidRDefault="004F760C">
      <w:pPr>
        <w:rPr>
          <w:b/>
          <w:sz w:val="28"/>
        </w:rPr>
      </w:pPr>
      <w:r>
        <w:rPr>
          <w:sz w:val="28"/>
        </w:rPr>
        <w:t>4. Projekty na każdym etapie realizacji inwestycji muszą zapewnić poszanowanie praw podstawowych oraz przestrzeganie Karty praw podstawowych Unii Europejskiej tj.: być zgodne z zasadami horyzontalnymi dotyczącymi:</w:t>
      </w:r>
    </w:p>
    <w:p w:rsidR="00BE25CB" w:rsidRDefault="004F760C">
      <w:pPr>
        <w:rPr>
          <w:b/>
          <w:sz w:val="28"/>
        </w:rPr>
      </w:pPr>
      <w:r>
        <w:rPr>
          <w:sz w:val="28"/>
        </w:rPr>
        <w:t>- równości szans kobiet i mężczyzn,</w:t>
      </w:r>
    </w:p>
    <w:p w:rsidR="00BE25CB" w:rsidRDefault="004F760C">
      <w:pPr>
        <w:rPr>
          <w:b/>
          <w:sz w:val="28"/>
        </w:rPr>
      </w:pPr>
      <w:r>
        <w:rPr>
          <w:sz w:val="28"/>
        </w:rPr>
        <w:t>- zapobiegania wszelkiej dyskryminacji,</w:t>
      </w:r>
    </w:p>
    <w:p w:rsidR="00BE25CB" w:rsidRDefault="004F760C">
      <w:pPr>
        <w:rPr>
          <w:b/>
          <w:sz w:val="28"/>
        </w:rPr>
      </w:pPr>
      <w:r>
        <w:rPr>
          <w:sz w:val="28"/>
        </w:rPr>
        <w:t>- zapewnienia dostępności dla osób o ograniczonej mobilności oraz z niepełnosprawnościami,</w:t>
      </w:r>
    </w:p>
    <w:p w:rsidR="00BE25CB" w:rsidRDefault="004F760C">
      <w:pPr>
        <w:rPr>
          <w:b/>
          <w:sz w:val="28"/>
        </w:rPr>
      </w:pPr>
      <w:r>
        <w:rPr>
          <w:sz w:val="28"/>
        </w:rPr>
        <w:t>- wspierania zrównoważonego rozwoju, z uwzględnieniem zasady „nie czyń poważnych szkód” (DNSH);</w:t>
      </w:r>
    </w:p>
    <w:p w:rsidR="00BE25CB" w:rsidRDefault="004F760C">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2 (viii).</w:t>
      </w:r>
    </w:p>
    <w:p w:rsidR="00BE25CB" w:rsidRDefault="004F760C">
      <w:pPr>
        <w:rPr>
          <w:b/>
          <w:sz w:val="28"/>
        </w:rPr>
      </w:pPr>
      <w:r>
        <w:rPr>
          <w:sz w:val="28"/>
        </w:rPr>
        <w:t xml:space="preserve">5. Dla pierwszego typu projektu: </w:t>
      </w:r>
    </w:p>
    <w:p w:rsidR="00BE25CB" w:rsidRDefault="004F760C">
      <w:pPr>
        <w:rPr>
          <w:b/>
          <w:sz w:val="28"/>
        </w:rPr>
      </w:pPr>
      <w:r>
        <w:rPr>
          <w:sz w:val="28"/>
        </w:rPr>
        <w:t>- nowe węzły integracyjne lub przystanki zintegrowane muszą być zlokalizowane poza obszarami centralnymi miast;</w:t>
      </w:r>
    </w:p>
    <w:p w:rsidR="00BE25CB" w:rsidRDefault="004F760C">
      <w:pPr>
        <w:rPr>
          <w:b/>
          <w:sz w:val="28"/>
        </w:rPr>
      </w:pPr>
      <w:r>
        <w:rPr>
          <w:sz w:val="28"/>
        </w:rPr>
        <w:lastRenderedPageBreak/>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p>
    <w:p w:rsidR="00BE25CB" w:rsidRDefault="004F760C">
      <w:pPr>
        <w:rPr>
          <w:b/>
          <w:sz w:val="28"/>
        </w:rPr>
      </w:pPr>
      <w:r>
        <w:rPr>
          <w:sz w:val="28"/>
        </w:rPr>
        <w:t xml:space="preserve">- budowa i rozbudowa obiektów typu „parkuj i jedź” może być realizowana wyłącznie poza obszarami centralnymi miast; </w:t>
      </w:r>
    </w:p>
    <w:p w:rsidR="00BE25CB" w:rsidRDefault="004F760C">
      <w:pPr>
        <w:rPr>
          <w:b/>
          <w:sz w:val="28"/>
        </w:rPr>
      </w:pPr>
      <w:r>
        <w:rPr>
          <w:sz w:val="28"/>
        </w:rPr>
        <w:t>6. Dla drugiego typu projektu:</w:t>
      </w:r>
    </w:p>
    <w:p w:rsidR="00BE25CB" w:rsidRDefault="004F760C">
      <w:pPr>
        <w:rPr>
          <w:b/>
          <w:sz w:val="28"/>
        </w:rPr>
      </w:pPr>
      <w:r>
        <w:rPr>
          <w:sz w:val="28"/>
        </w:rPr>
        <w:t xml:space="preserve">- budowana, rozbudowywana lub przebudowywana sieć drogowa na potrzeby linii autobusowych nie może być wykorzystywana dla indywidualnego ruchu samochodowego; </w:t>
      </w:r>
    </w:p>
    <w:p w:rsidR="00BE25CB" w:rsidRDefault="004F760C">
      <w:pPr>
        <w:rPr>
          <w:b/>
          <w:sz w:val="28"/>
        </w:rPr>
      </w:pPr>
      <w:r>
        <w:rPr>
          <w:sz w:val="28"/>
        </w:rPr>
        <w:t xml:space="preserve">7. Dla czwartego typu projektu: </w:t>
      </w:r>
    </w:p>
    <w:p w:rsidR="00BE25CB" w:rsidRDefault="004F760C">
      <w:pPr>
        <w:rPr>
          <w:b/>
          <w:sz w:val="28"/>
        </w:rPr>
      </w:pPr>
      <w:r>
        <w:rPr>
          <w:sz w:val="28"/>
        </w:rPr>
        <w:t>- pojazdy niskoemisyjne muszą spełniać wymogi dla ekologicznie czystych pojazdów w rozumieniu dyrektywy Parlamentu Europejskiego i Rady 2009/33/WE;</w:t>
      </w:r>
    </w:p>
    <w:p w:rsidR="00BE25CB" w:rsidRDefault="004F760C">
      <w:pPr>
        <w:rPr>
          <w:b/>
          <w:sz w:val="28"/>
        </w:rPr>
      </w:pPr>
      <w:r>
        <w:rPr>
          <w:sz w:val="28"/>
        </w:rPr>
        <w:t xml:space="preserve">8. Dla piątego typu projektu: </w:t>
      </w:r>
    </w:p>
    <w:p w:rsidR="00BE25CB" w:rsidRDefault="004F760C">
      <w:pPr>
        <w:rPr>
          <w:b/>
          <w:sz w:val="28"/>
        </w:rPr>
      </w:pPr>
      <w:r>
        <w:rPr>
          <w:sz w:val="28"/>
        </w:rPr>
        <w:t>- infrastruktura może być realizowana jedynie w przypadku braku możliwości finansowania jej ze źródeł prywatnych;</w:t>
      </w:r>
    </w:p>
    <w:p w:rsidR="00BE25CB" w:rsidRDefault="004F760C">
      <w:pPr>
        <w:rPr>
          <w:b/>
          <w:sz w:val="28"/>
        </w:rPr>
      </w:pPr>
      <w:r>
        <w:rPr>
          <w:sz w:val="28"/>
        </w:rPr>
        <w:t xml:space="preserve">- w przypadku infrastruktury dla użytkowników indywidualnych - należy zapewnić niedyskryminacyjny dostęp dla wszystkich użytkowników; </w:t>
      </w:r>
    </w:p>
    <w:p w:rsidR="00BE25CB" w:rsidRDefault="004F760C">
      <w:pPr>
        <w:rPr>
          <w:b/>
          <w:sz w:val="28"/>
        </w:rPr>
      </w:pPr>
      <w:r>
        <w:rPr>
          <w:sz w:val="28"/>
        </w:rPr>
        <w:t>9. Dla szóstego typu projektu:</w:t>
      </w:r>
    </w:p>
    <w:p w:rsidR="00BE25CB" w:rsidRDefault="004F760C">
      <w:pPr>
        <w:rPr>
          <w:b/>
          <w:sz w:val="28"/>
        </w:rPr>
      </w:pPr>
      <w:r>
        <w:rPr>
          <w:sz w:val="28"/>
        </w:rP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p>
    <w:p w:rsidR="00BE25CB" w:rsidRDefault="004F760C">
      <w:pPr>
        <w:rPr>
          <w:b/>
          <w:sz w:val="28"/>
        </w:rPr>
      </w:pPr>
      <w:r>
        <w:rPr>
          <w:sz w:val="28"/>
        </w:rPr>
        <w:lastRenderedPageBreak/>
        <w:t>10. Działania realizowane w ramach siódmego typu projektu mogą stanowić osobny projekt jedynie w przypadku, gdy są komplementarne z założeniami kompleksowego przedsięwzięcia edukacyjnego prowadzonego na terenie całego województwa.</w:t>
      </w:r>
    </w:p>
    <w:p w:rsidR="00BE25CB" w:rsidRDefault="004F760C">
      <w:pPr>
        <w:rPr>
          <w:b/>
          <w:sz w:val="28"/>
        </w:rPr>
      </w:pPr>
      <w:r>
        <w:rPr>
          <w:sz w:val="28"/>
        </w:rPr>
        <w:t>11. Przedsiębiorcy mogą ubiegać się o dofinansowanie wyłącznie w ramach piątego typu projektu jako partnerzy w projektach realizowanych przez administrację publiczną.</w:t>
      </w:r>
    </w:p>
    <w:p w:rsidR="00BE25CB" w:rsidRDefault="004F760C">
      <w:pPr>
        <w:rPr>
          <w:b/>
          <w:sz w:val="28"/>
        </w:rPr>
      </w:pPr>
      <w:r>
        <w:rPr>
          <w:sz w:val="28"/>
        </w:rPr>
        <w:t>Ukierunkowanie terytorialne:</w:t>
      </w:r>
    </w:p>
    <w:p w:rsidR="00BE25CB" w:rsidRDefault="004F760C">
      <w:pPr>
        <w:rPr>
          <w:b/>
          <w:sz w:val="28"/>
        </w:rPr>
      </w:pPr>
      <w:r>
        <w:rPr>
          <w:sz w:val="28"/>
        </w:rPr>
        <w:t xml:space="preserve">Obszary wskazane w Strategiach ZIT dla Miejskich Obszarów Funkcjonalnych: Bytowa, Chojnic-Człuchowa, Kościerzyny, Kwidzyna, Lęborka, Malborka-Sztumu, Słupska-Ustki i Starogardu Gdańskiego.  </w:t>
      </w:r>
    </w:p>
    <w:p w:rsidR="00BE25CB" w:rsidRDefault="004F760C">
      <w:pPr>
        <w:rPr>
          <w:b/>
          <w:sz w:val="28"/>
        </w:rPr>
      </w:pPr>
      <w:r>
        <w:rPr>
          <w:sz w:val="28"/>
        </w:rPr>
        <w:t xml:space="preserve">Preferowane będą projekty: </w:t>
      </w:r>
    </w:p>
    <w:p w:rsidR="00BE25CB" w:rsidRDefault="004F760C">
      <w:pPr>
        <w:rPr>
          <w:b/>
          <w:sz w:val="28"/>
        </w:rPr>
      </w:pPr>
      <w:r>
        <w:rPr>
          <w:sz w:val="28"/>
        </w:rPr>
        <w:t>1. powiązane z wprowadzaniem integracji taryfowej oraz wdrażaniem koncepcji „Mobilność jako usługa” (</w:t>
      </w:r>
      <w:proofErr w:type="spellStart"/>
      <w:r>
        <w:rPr>
          <w:sz w:val="28"/>
        </w:rPr>
        <w:t>MaaS</w:t>
      </w:r>
      <w:proofErr w:type="spellEnd"/>
      <w:r>
        <w:rPr>
          <w:sz w:val="28"/>
        </w:rPr>
        <w:t>);</w:t>
      </w:r>
    </w:p>
    <w:p w:rsidR="00BE25CB" w:rsidRDefault="004F760C">
      <w:pPr>
        <w:rPr>
          <w:b/>
          <w:sz w:val="28"/>
        </w:rPr>
      </w:pPr>
      <w:r>
        <w:rPr>
          <w:sz w:val="28"/>
        </w:rPr>
        <w:t>2. uwzględniające działania wyrównujące szanse grup zagrożonych dyskryminacją;</w:t>
      </w:r>
    </w:p>
    <w:p w:rsidR="00BE25CB" w:rsidRDefault="004F760C">
      <w:pPr>
        <w:rPr>
          <w:b/>
          <w:sz w:val="28"/>
        </w:rPr>
      </w:pPr>
      <w:r>
        <w:rPr>
          <w:sz w:val="28"/>
        </w:rPr>
        <w:t>3. zgodne z Planem Zrównoważonej Mobilności Miejskiej (SUMP) dla właściwego względem miejsca inwestycji miejskiego obszaru funkcjonalnego:</w:t>
      </w:r>
    </w:p>
    <w:p w:rsidR="00BE25CB" w:rsidRDefault="004F760C">
      <w:pPr>
        <w:rPr>
          <w:b/>
          <w:sz w:val="28"/>
        </w:rPr>
      </w:pPr>
      <w:r>
        <w:rPr>
          <w:sz w:val="28"/>
        </w:rPr>
        <w:t>• sporządzonym zgodnie z wymogami określonymi we właściwym Komunikacie Komisji dotyczącym SUMP oraz rozporządzeniem UE w sprawie sieci TEN-T;</w:t>
      </w:r>
    </w:p>
    <w:p w:rsidR="00BE25CB" w:rsidRDefault="004F760C">
      <w:pPr>
        <w:rPr>
          <w:b/>
          <w:sz w:val="28"/>
        </w:rPr>
      </w:pPr>
      <w:r>
        <w:rPr>
          <w:sz w:val="28"/>
        </w:rPr>
        <w:t>• przyjętym przez organ właściwy terytorialnie oraz rzeczowo, w formie zapewniającej jego praktyczną realizację.</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lastRenderedPageBreak/>
        <w:t>85</w:t>
      </w:r>
    </w:p>
    <w:p w:rsidR="00BE25CB" w:rsidRDefault="004F760C">
      <w:pPr>
        <w:rPr>
          <w:b/>
          <w:sz w:val="28"/>
        </w:rPr>
      </w:pPr>
      <w:r>
        <w:rPr>
          <w:b/>
          <w:sz w:val="28"/>
        </w:rPr>
        <w:t>Pomoc publiczna – unijna podstawa prawna</w:t>
      </w:r>
    </w:p>
    <w:p w:rsidR="00BE25CB" w:rsidRDefault="004F760C">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651/2014 z dnia 17 czerwca 2014 r. uznające niektóre rodzaje pomocy za zgodne z rynkiem wewnętrznym w zastosowaniu art. 107 i 108 Traktatu,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BE25CB" w:rsidRDefault="004F760C">
      <w:pPr>
        <w:rPr>
          <w:b/>
          <w:sz w:val="28"/>
        </w:rPr>
      </w:pPr>
      <w:r>
        <w:rPr>
          <w:b/>
          <w:sz w:val="28"/>
        </w:rPr>
        <w:t>Pomoc publiczna – krajowa podstawa prawna</w:t>
      </w:r>
    </w:p>
    <w:p w:rsidR="00BE25CB" w:rsidRDefault="004F760C">
      <w:pPr>
        <w:rPr>
          <w:b/>
          <w:sz w:val="28"/>
        </w:rPr>
      </w:pPr>
      <w:r>
        <w:rPr>
          <w:sz w:val="28"/>
        </w:rPr>
        <w:t xml:space="preserve">W przygotowaniu, Bez pomocy, 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Rozporządzenie Ministra Funduszy i Polityki Regionalnej z dnia 11 grudnia 2022 r. w sprawie udzielania pomocy inwestycyjnej na infrastrukturę lokalną w ramach regionalnych programów na lata 2021–2027 (Dz. U. z 2022 r. poz. 2686)</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lastRenderedPageBreak/>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t>Sposób wyboru projektów</w:t>
      </w:r>
    </w:p>
    <w:p w:rsidR="00BE25CB" w:rsidRDefault="004F760C">
      <w:pPr>
        <w:rPr>
          <w:b/>
          <w:sz w:val="28"/>
        </w:rPr>
      </w:pPr>
      <w:r>
        <w:rPr>
          <w:sz w:val="28"/>
        </w:rPr>
        <w:t>Niekonkurencyjny</w:t>
      </w:r>
    </w:p>
    <w:p w:rsidR="00BE25CB" w:rsidRDefault="004F760C">
      <w:pPr>
        <w:rPr>
          <w:b/>
          <w:sz w:val="28"/>
        </w:rPr>
      </w:pPr>
      <w:r>
        <w:rPr>
          <w:b/>
          <w:sz w:val="28"/>
        </w:rPr>
        <w:t>Realizacja instrumentów terytorialnych</w:t>
      </w:r>
    </w:p>
    <w:p w:rsidR="00BE25CB" w:rsidRDefault="004F760C">
      <w:pPr>
        <w:rPr>
          <w:b/>
          <w:sz w:val="28"/>
        </w:rPr>
      </w:pPr>
      <w:r>
        <w:rPr>
          <w:sz w:val="28"/>
        </w:rPr>
        <w:t>ZIT</w:t>
      </w:r>
    </w:p>
    <w:p w:rsidR="00BE25CB" w:rsidRDefault="004F760C">
      <w:pPr>
        <w:rPr>
          <w:b/>
          <w:sz w:val="28"/>
        </w:rPr>
      </w:pPr>
      <w:r>
        <w:rPr>
          <w:b/>
          <w:sz w:val="28"/>
        </w:rPr>
        <w:t>Typ beneficjenta – ogólny</w:t>
      </w:r>
    </w:p>
    <w:p w:rsidR="00BE25CB" w:rsidRDefault="004F760C">
      <w:pPr>
        <w:rPr>
          <w:b/>
          <w:sz w:val="28"/>
        </w:rPr>
      </w:pPr>
      <w:r>
        <w:rPr>
          <w:sz w:val="28"/>
        </w:rPr>
        <w:t>Przedsiębiorstwa, Administracja publiczna, Służby publiczne, Przedsiębiorstwa realizujące cele publiczne</w:t>
      </w:r>
    </w:p>
    <w:p w:rsidR="00BE25CB" w:rsidRDefault="004F760C">
      <w:pPr>
        <w:rPr>
          <w:b/>
          <w:sz w:val="28"/>
        </w:rPr>
      </w:pPr>
      <w:r>
        <w:rPr>
          <w:b/>
          <w:sz w:val="28"/>
        </w:rPr>
        <w:t>Typ beneficjenta – szczegółowy</w:t>
      </w:r>
    </w:p>
    <w:p w:rsidR="00BE25CB" w:rsidRDefault="004F760C">
      <w:pPr>
        <w:rPr>
          <w:b/>
          <w:sz w:val="28"/>
        </w:rPr>
      </w:pPr>
      <w:r>
        <w:rPr>
          <w:sz w:val="28"/>
        </w:rPr>
        <w:t>Duże przedsiębiorstwa, MŚP, Jednostki Samorządu Terytorialnego, Jednostki organizacyjne działające w imieniu jednostek samorządu terytorialnego, Zarządcy dróg publicznych, Organizatorzy i operatorzy publicznego transportu zbiorowego, Zarządcy infrastruktury dworcowej , Zarządcy infrastruktury kolejowej</w:t>
      </w:r>
    </w:p>
    <w:p w:rsidR="00BE25CB" w:rsidRDefault="004F760C">
      <w:pPr>
        <w:rPr>
          <w:b/>
          <w:sz w:val="28"/>
        </w:rPr>
      </w:pPr>
      <w:r>
        <w:rPr>
          <w:b/>
          <w:sz w:val="28"/>
        </w:rPr>
        <w:t>Grupa docelowa</w:t>
      </w:r>
    </w:p>
    <w:p w:rsidR="00BE25CB" w:rsidRDefault="004F760C">
      <w:pPr>
        <w:rPr>
          <w:b/>
          <w:sz w:val="28"/>
        </w:rPr>
      </w:pPr>
      <w:r>
        <w:rPr>
          <w:sz w:val="28"/>
        </w:rPr>
        <w:t>przedsiębiorcy korzystający z miejskiej infrastruktury transportowej, użytkownicy indywidualni korzystający ze środków publicznego transportu zbiorowego, użytkownicy indywidualni korzystający z miejskiej infrastruktury transportowej</w:t>
      </w:r>
    </w:p>
    <w:p w:rsidR="00BE25CB" w:rsidRDefault="004F760C">
      <w:pPr>
        <w:rPr>
          <w:b/>
          <w:sz w:val="28"/>
        </w:rPr>
      </w:pPr>
      <w:r>
        <w:rPr>
          <w:b/>
          <w:sz w:val="28"/>
        </w:rPr>
        <w:t>Słowa kluczowe</w:t>
      </w:r>
    </w:p>
    <w:p w:rsidR="00BE25CB" w:rsidRDefault="004F760C">
      <w:pPr>
        <w:rPr>
          <w:b/>
          <w:sz w:val="28"/>
        </w:rPr>
      </w:pPr>
      <w:r>
        <w:rPr>
          <w:sz w:val="28"/>
        </w:rPr>
        <w:t xml:space="preserve">autobusy, </w:t>
      </w:r>
      <w:proofErr w:type="spellStart"/>
      <w:r>
        <w:rPr>
          <w:sz w:val="28"/>
        </w:rPr>
        <w:t>tabor_miejski</w:t>
      </w:r>
      <w:proofErr w:type="spellEnd"/>
      <w:r>
        <w:rPr>
          <w:sz w:val="28"/>
        </w:rPr>
        <w:t xml:space="preserve">, buspas, </w:t>
      </w:r>
      <w:proofErr w:type="spellStart"/>
      <w:r>
        <w:rPr>
          <w:sz w:val="28"/>
        </w:rPr>
        <w:t>czysty_transport</w:t>
      </w:r>
      <w:proofErr w:type="spellEnd"/>
      <w:r>
        <w:rPr>
          <w:sz w:val="28"/>
        </w:rPr>
        <w:t xml:space="preserve">, </w:t>
      </w:r>
      <w:proofErr w:type="spellStart"/>
      <w:r>
        <w:rPr>
          <w:sz w:val="28"/>
        </w:rPr>
        <w:t>komunikacja_zbiorowa</w:t>
      </w:r>
      <w:proofErr w:type="spellEnd"/>
      <w:r>
        <w:rPr>
          <w:sz w:val="28"/>
        </w:rPr>
        <w:t xml:space="preserve">, </w:t>
      </w:r>
      <w:proofErr w:type="spellStart"/>
      <w:r>
        <w:rPr>
          <w:sz w:val="28"/>
        </w:rPr>
        <w:t>linie_autobusowe</w:t>
      </w:r>
      <w:proofErr w:type="spellEnd"/>
      <w:r>
        <w:rPr>
          <w:sz w:val="28"/>
        </w:rPr>
        <w:t xml:space="preserve">, </w:t>
      </w:r>
      <w:proofErr w:type="spellStart"/>
      <w:r>
        <w:rPr>
          <w:sz w:val="28"/>
        </w:rPr>
        <w:t>mobilność_miejska</w:t>
      </w:r>
      <w:proofErr w:type="spellEnd"/>
      <w:r>
        <w:rPr>
          <w:sz w:val="28"/>
        </w:rPr>
        <w:t xml:space="preserve">, </w:t>
      </w:r>
      <w:proofErr w:type="spellStart"/>
      <w:r>
        <w:rPr>
          <w:sz w:val="28"/>
        </w:rPr>
        <w:t>park_and_ride</w:t>
      </w:r>
      <w:proofErr w:type="spellEnd"/>
      <w:r>
        <w:rPr>
          <w:sz w:val="28"/>
        </w:rPr>
        <w:t xml:space="preserve">, </w:t>
      </w:r>
      <w:proofErr w:type="spellStart"/>
      <w:r>
        <w:rPr>
          <w:sz w:val="28"/>
        </w:rPr>
        <w:t>bike_and_ride</w:t>
      </w:r>
      <w:proofErr w:type="spellEnd"/>
      <w:r>
        <w:rPr>
          <w:sz w:val="28"/>
        </w:rPr>
        <w:t>, węzły</w:t>
      </w:r>
    </w:p>
    <w:p w:rsidR="00BE25CB" w:rsidRDefault="004F760C">
      <w:pPr>
        <w:rPr>
          <w:b/>
          <w:sz w:val="28"/>
        </w:rPr>
      </w:pPr>
      <w:r>
        <w:rPr>
          <w:b/>
          <w:sz w:val="28"/>
        </w:rPr>
        <w:t>Wielkość podmiotu (w przypadku przedsiębiorstw)</w:t>
      </w:r>
    </w:p>
    <w:p w:rsidR="00BE25CB" w:rsidRDefault="004F760C">
      <w:pPr>
        <w:rPr>
          <w:b/>
          <w:sz w:val="28"/>
        </w:rPr>
      </w:pPr>
      <w:r>
        <w:rPr>
          <w:sz w:val="28"/>
        </w:rPr>
        <w:t>Mikro, Małe, Średnie, Duże</w:t>
      </w:r>
    </w:p>
    <w:p w:rsidR="00BE25CB" w:rsidRDefault="004F760C">
      <w:pPr>
        <w:rPr>
          <w:b/>
          <w:sz w:val="28"/>
        </w:rPr>
      </w:pPr>
      <w:r>
        <w:rPr>
          <w:b/>
          <w:sz w:val="28"/>
        </w:rPr>
        <w:lastRenderedPageBreak/>
        <w:t>Wskaźniki produktu</w:t>
      </w:r>
    </w:p>
    <w:p w:rsidR="00BE25CB" w:rsidRDefault="004F760C">
      <w:pPr>
        <w:rPr>
          <w:b/>
          <w:sz w:val="28"/>
        </w:rPr>
      </w:pPr>
      <w:r>
        <w:rPr>
          <w:sz w:val="28"/>
        </w:rPr>
        <w:t>WLWK-PLRO079 - Długość nowych linii autobusowych</w:t>
      </w:r>
    </w:p>
    <w:p w:rsidR="00BE25CB" w:rsidRDefault="004F760C">
      <w:pPr>
        <w:rPr>
          <w:b/>
          <w:sz w:val="28"/>
        </w:rPr>
      </w:pPr>
      <w:r>
        <w:rPr>
          <w:sz w:val="28"/>
        </w:rPr>
        <w:t>WLWK-PLRO082 - Długość przebudowanych lub zmodernizowanych linii autobusowych</w:t>
      </w:r>
    </w:p>
    <w:p w:rsidR="00BE25CB" w:rsidRDefault="004F760C">
      <w:pPr>
        <w:rPr>
          <w:b/>
          <w:sz w:val="28"/>
        </w:rPr>
      </w:pPr>
      <w:r>
        <w:rPr>
          <w:sz w:val="28"/>
        </w:rPr>
        <w:t>WLWK-PLRO081 - Długość przebudowanych lub zmodernizowanych linii autobusowych i trolejbusowych</w:t>
      </w:r>
    </w:p>
    <w:p w:rsidR="00BE25CB" w:rsidRDefault="004F760C">
      <w:pPr>
        <w:rPr>
          <w:b/>
          <w:sz w:val="28"/>
        </w:rPr>
      </w:pPr>
      <w:r>
        <w:rPr>
          <w:sz w:val="28"/>
        </w:rPr>
        <w:t>WLWK-RCO059 - Infrastruktura paliw alternatywnych (punkty tankowania/ładowania)</w:t>
      </w:r>
    </w:p>
    <w:p w:rsidR="00BE25CB" w:rsidRDefault="004F760C">
      <w:pPr>
        <w:rPr>
          <w:b/>
          <w:sz w:val="28"/>
        </w:rPr>
      </w:pPr>
      <w:r>
        <w:rPr>
          <w:sz w:val="28"/>
        </w:rPr>
        <w:t>WLWK-PLRO099 - Liczba przebudowanych i rozbudowanych zintegrowanych węzłów przesiadkowych</w:t>
      </w:r>
    </w:p>
    <w:p w:rsidR="00BE25CB" w:rsidRDefault="004F760C">
      <w:pPr>
        <w:rPr>
          <w:b/>
          <w:sz w:val="28"/>
        </w:rPr>
      </w:pPr>
      <w:r>
        <w:rPr>
          <w:sz w:val="28"/>
        </w:rPr>
        <w:t>WLWK-PLRO073 - Liczba przeprowadzonych kampanii informacyjno-edukacyjnych kształtujących świadomość ekologiczną</w:t>
      </w:r>
    </w:p>
    <w:p w:rsidR="00BE25CB" w:rsidRDefault="004F760C">
      <w:pPr>
        <w:rPr>
          <w:b/>
          <w:sz w:val="28"/>
        </w:rPr>
      </w:pPr>
      <w:r>
        <w:rPr>
          <w:sz w:val="28"/>
        </w:rPr>
        <w:t>WLWK-PLRO184 - Liczba wspartych publicznych systemów wypożyczania rowerów</w:t>
      </w:r>
    </w:p>
    <w:p w:rsidR="00BE25CB" w:rsidRDefault="004F760C">
      <w:pPr>
        <w:rPr>
          <w:b/>
          <w:sz w:val="28"/>
        </w:rPr>
      </w:pPr>
      <w:r>
        <w:rPr>
          <w:sz w:val="28"/>
        </w:rPr>
        <w:t>WLWK-PLRO097 - Liczba wspartych zintegrowanych węzłów przesiadkowych</w:t>
      </w:r>
    </w:p>
    <w:p w:rsidR="00BE25CB" w:rsidRDefault="004F760C">
      <w:pPr>
        <w:rPr>
          <w:b/>
          <w:sz w:val="28"/>
        </w:rPr>
      </w:pPr>
      <w:r>
        <w:rPr>
          <w:sz w:val="28"/>
        </w:rPr>
        <w:t>WLWK-PLRO098 - Liczba wybudowanych zintegrowanych węzłów przesiadkowych</w:t>
      </w:r>
    </w:p>
    <w:p w:rsidR="00BE25CB" w:rsidRDefault="004F760C">
      <w:pPr>
        <w:rPr>
          <w:b/>
          <w:sz w:val="28"/>
        </w:rPr>
      </w:pPr>
      <w:r>
        <w:rPr>
          <w:sz w:val="28"/>
        </w:rPr>
        <w:t>WLWK-PLRO088 - Liczba zakupionych jednostek taboru autobusowego w publicznym transporcie zbiorowym komunikacji miejskiej i metropolitarnej</w:t>
      </w:r>
    </w:p>
    <w:p w:rsidR="00BE25CB" w:rsidRDefault="004F760C">
      <w:pPr>
        <w:rPr>
          <w:b/>
          <w:sz w:val="28"/>
        </w:rPr>
      </w:pPr>
      <w:r>
        <w:rPr>
          <w:sz w:val="28"/>
        </w:rPr>
        <w:t>WLWK-PLRO084 - Liczba zakupionych jednostek taboru pasażerskiego w publicznym transporcie zbiorowym komunikacji miejskiej i metropolitarnej</w:t>
      </w:r>
    </w:p>
    <w:p w:rsidR="00BE25CB" w:rsidRDefault="004F760C">
      <w:pPr>
        <w:rPr>
          <w:b/>
          <w:sz w:val="28"/>
        </w:rPr>
      </w:pPr>
      <w:r>
        <w:rPr>
          <w:sz w:val="28"/>
        </w:rPr>
        <w:t>WLWK-RCO074 - Ludność objęta projektami w ramach strategii zintegrowanego rozwoju terytorialnego</w:t>
      </w:r>
    </w:p>
    <w:p w:rsidR="00BE25CB" w:rsidRDefault="004F760C">
      <w:pPr>
        <w:rPr>
          <w:b/>
          <w:sz w:val="28"/>
        </w:rPr>
      </w:pPr>
      <w:r>
        <w:rPr>
          <w:sz w:val="28"/>
        </w:rPr>
        <w:t>WLWK-RCO060 - Miasta z nowymi lub zmodernizowanymi cyfrowymi systemami transportu miejskiego</w:t>
      </w:r>
    </w:p>
    <w:p w:rsidR="00BE25CB" w:rsidRDefault="004F760C">
      <w:pPr>
        <w:rPr>
          <w:b/>
          <w:sz w:val="28"/>
        </w:rPr>
      </w:pPr>
      <w:r>
        <w:rPr>
          <w:sz w:val="28"/>
        </w:rPr>
        <w:t>WLWK-RCO057 - Pojemność ekologicznego taboru do zbiorowego transportu publicznego</w:t>
      </w:r>
    </w:p>
    <w:p w:rsidR="00BE25CB" w:rsidRDefault="004F760C">
      <w:pPr>
        <w:rPr>
          <w:b/>
          <w:sz w:val="28"/>
        </w:rPr>
      </w:pPr>
      <w:r>
        <w:rPr>
          <w:sz w:val="28"/>
        </w:rPr>
        <w:lastRenderedPageBreak/>
        <w:t>WLWK-RCO058 - Wspierana infrastruktura rowerowa</w:t>
      </w:r>
    </w:p>
    <w:p w:rsidR="00BE25CB" w:rsidRDefault="004F760C">
      <w:pPr>
        <w:rPr>
          <w:b/>
          <w:sz w:val="28"/>
        </w:rPr>
      </w:pPr>
      <w:r>
        <w:rPr>
          <w:sz w:val="28"/>
        </w:rPr>
        <w:t>WLWK-RCO075 - Wspierane strategie zintegrowanego rozwoju terytorialnego</w:t>
      </w:r>
    </w:p>
    <w:p w:rsidR="00BE25CB" w:rsidRDefault="004F760C">
      <w:pPr>
        <w:rPr>
          <w:b/>
          <w:sz w:val="28"/>
        </w:rPr>
      </w:pPr>
      <w:r>
        <w:rPr>
          <w:b/>
          <w:sz w:val="28"/>
        </w:rPr>
        <w:t>Wskaźniki rezultatu</w:t>
      </w:r>
    </w:p>
    <w:p w:rsidR="00BE25CB" w:rsidRDefault="004F760C">
      <w:pPr>
        <w:rPr>
          <w:b/>
          <w:sz w:val="28"/>
        </w:rPr>
      </w:pPr>
      <w:r>
        <w:rPr>
          <w:sz w:val="28"/>
        </w:rPr>
        <w:t>WLWK-PLRR047 - Liczba ludności korzystającej z nowych lub zmodernizowanych cyfrowych systemów transportu miejskiego</w:t>
      </w:r>
    </w:p>
    <w:p w:rsidR="00BE25CB" w:rsidRDefault="004F760C">
      <w:pPr>
        <w:rPr>
          <w:b/>
          <w:sz w:val="28"/>
        </w:rPr>
      </w:pPr>
      <w:r>
        <w:rPr>
          <w:sz w:val="28"/>
        </w:rPr>
        <w:t>WLWK-PLRR046 - Objętość paliwa wykorzystanego we wspartej infrastrukturze paliw alternatywnych</w:t>
      </w:r>
    </w:p>
    <w:p w:rsidR="00BE25CB" w:rsidRDefault="004F760C">
      <w:pPr>
        <w:rPr>
          <w:b/>
          <w:sz w:val="28"/>
        </w:rPr>
      </w:pPr>
      <w:r>
        <w:rPr>
          <w:sz w:val="28"/>
        </w:rPr>
        <w:t>WLWK-RCR064 - Roczna liczba użytkowników infrastruktury rowerowej</w:t>
      </w:r>
    </w:p>
    <w:p w:rsidR="00BE25CB" w:rsidRDefault="004F760C">
      <w:pPr>
        <w:rPr>
          <w:b/>
          <w:sz w:val="28"/>
        </w:rPr>
      </w:pPr>
      <w:r>
        <w:rPr>
          <w:sz w:val="28"/>
        </w:rPr>
        <w:t>WLWK-RCR062 - Roczna liczba użytkowników nowego lub zmodernizowanego transportu publicznego</w:t>
      </w:r>
    </w:p>
    <w:p w:rsidR="00BE25CB" w:rsidRDefault="004F760C">
      <w:pPr>
        <w:rPr>
          <w:b/>
          <w:sz w:val="28"/>
        </w:rPr>
      </w:pPr>
      <w:r>
        <w:rPr>
          <w:sz w:val="28"/>
        </w:rPr>
        <w:t>WLWK-RCR029 - Szacowana emisja gazów cieplarnianych</w:t>
      </w:r>
    </w:p>
    <w:p w:rsidR="00BE25CB" w:rsidRDefault="00BE25CB">
      <w:pPr>
        <w:rPr>
          <w:b/>
          <w:sz w:val="28"/>
        </w:rPr>
      </w:pPr>
    </w:p>
    <w:p w:rsidR="00BE25CB" w:rsidRDefault="004F760C">
      <w:pPr>
        <w:pStyle w:val="Nagwek2"/>
        <w:rPr>
          <w:rFonts w:ascii="Calibri" w:hAnsi="Calibri" w:cs="Calibri"/>
          <w:i w:val="0"/>
          <w:sz w:val="32"/>
        </w:rPr>
      </w:pPr>
      <w:bookmarkStart w:id="7" w:name="_Toc128650873"/>
      <w:r>
        <w:rPr>
          <w:rFonts w:ascii="Calibri" w:hAnsi="Calibri" w:cs="Calibri"/>
          <w:i w:val="0"/>
          <w:sz w:val="32"/>
        </w:rPr>
        <w:t>Priorytet FEPM.04 Fundusze europejskie dla lepiej połączonego Pomorza</w:t>
      </w:r>
      <w:bookmarkEnd w:id="7"/>
    </w:p>
    <w:p w:rsidR="00BE25CB" w:rsidRDefault="00BE25CB">
      <w:pPr>
        <w:rPr>
          <w:rFonts w:ascii="Calibri" w:hAnsi="Calibri"/>
          <w:sz w:val="32"/>
        </w:rPr>
      </w:pPr>
    </w:p>
    <w:p w:rsidR="00BE25CB" w:rsidRDefault="004F760C">
      <w:pPr>
        <w:rPr>
          <w:b/>
          <w:sz w:val="28"/>
        </w:rPr>
      </w:pPr>
      <w:r>
        <w:rPr>
          <w:b/>
          <w:sz w:val="28"/>
        </w:rPr>
        <w:t>Instytucja Zarządzająca</w:t>
      </w:r>
    </w:p>
    <w:p w:rsidR="00BE25CB" w:rsidRDefault="004F760C">
      <w:pPr>
        <w:rPr>
          <w:b/>
          <w:sz w:val="28"/>
        </w:rPr>
      </w:pPr>
      <w:r>
        <w:rPr>
          <w:sz w:val="28"/>
        </w:rPr>
        <w:t>Urząd Marszałkowski Województwa Pomorskiego</w:t>
      </w:r>
    </w:p>
    <w:p w:rsidR="00BE25CB" w:rsidRDefault="004F760C">
      <w:pPr>
        <w:rPr>
          <w:b/>
          <w:sz w:val="28"/>
        </w:rPr>
      </w:pPr>
      <w:r>
        <w:rPr>
          <w:b/>
          <w:sz w:val="28"/>
        </w:rPr>
        <w:t>Fundusz</w:t>
      </w:r>
    </w:p>
    <w:p w:rsidR="00BE25CB" w:rsidRDefault="004F760C">
      <w:pPr>
        <w:rPr>
          <w:b/>
          <w:sz w:val="28"/>
        </w:rPr>
      </w:pPr>
      <w:r>
        <w:rPr>
          <w:sz w:val="28"/>
        </w:rPr>
        <w:t>Europejski Fundusz Rozwoju Regionalnego</w:t>
      </w:r>
    </w:p>
    <w:p w:rsidR="00BE25CB" w:rsidRDefault="004F760C">
      <w:pPr>
        <w:rPr>
          <w:b/>
          <w:sz w:val="28"/>
        </w:rPr>
      </w:pPr>
      <w:r>
        <w:rPr>
          <w:b/>
          <w:sz w:val="28"/>
        </w:rPr>
        <w:t>Cel Polityki</w:t>
      </w:r>
    </w:p>
    <w:p w:rsidR="00BE25CB" w:rsidRDefault="004F760C">
      <w:pPr>
        <w:rPr>
          <w:b/>
          <w:sz w:val="28"/>
        </w:rPr>
      </w:pPr>
      <w:r>
        <w:rPr>
          <w:sz w:val="28"/>
        </w:rPr>
        <w:t>CP3 - Lepiej połączona Europa dzięki zwiększeniu mobilności</w:t>
      </w:r>
    </w:p>
    <w:p w:rsidR="00BE25CB" w:rsidRDefault="004F760C">
      <w:pPr>
        <w:rPr>
          <w:b/>
          <w:sz w:val="28"/>
        </w:rPr>
      </w:pPr>
      <w:r>
        <w:rPr>
          <w:b/>
          <w:sz w:val="28"/>
        </w:rPr>
        <w:t>Miejsce realizacji</w:t>
      </w:r>
    </w:p>
    <w:p w:rsidR="00BE25CB" w:rsidRDefault="004F760C">
      <w:pPr>
        <w:rPr>
          <w:b/>
          <w:sz w:val="28"/>
        </w:rPr>
      </w:pPr>
      <w:r>
        <w:rPr>
          <w:sz w:val="28"/>
        </w:rPr>
        <w:t>POMORSKIE</w:t>
      </w:r>
    </w:p>
    <w:p w:rsidR="00BE25CB" w:rsidRDefault="004F760C">
      <w:pPr>
        <w:rPr>
          <w:b/>
          <w:sz w:val="28"/>
        </w:rPr>
      </w:pPr>
      <w:r>
        <w:rPr>
          <w:b/>
          <w:sz w:val="28"/>
        </w:rPr>
        <w:lastRenderedPageBreak/>
        <w:t>Wysokość alokacji UE (EUR)</w:t>
      </w:r>
    </w:p>
    <w:p w:rsidR="00BE25CB" w:rsidRDefault="004F760C">
      <w:pPr>
        <w:rPr>
          <w:b/>
          <w:sz w:val="28"/>
        </w:rPr>
      </w:pPr>
      <w:r>
        <w:rPr>
          <w:sz w:val="28"/>
        </w:rPr>
        <w:t>250 721 768,00</w:t>
      </w:r>
    </w:p>
    <w:p w:rsidR="00BE25CB" w:rsidRDefault="00BE25CB">
      <w:pPr>
        <w:rPr>
          <w:b/>
          <w:sz w:val="28"/>
        </w:rPr>
      </w:pPr>
    </w:p>
    <w:p w:rsidR="00BE25CB" w:rsidRDefault="004F760C">
      <w:pPr>
        <w:pStyle w:val="Nagwek3"/>
        <w:rPr>
          <w:rFonts w:ascii="Calibri" w:hAnsi="Calibri" w:cs="Calibri"/>
          <w:sz w:val="32"/>
        </w:rPr>
      </w:pPr>
      <w:bookmarkStart w:id="8" w:name="_Toc128650874"/>
      <w:r>
        <w:rPr>
          <w:rFonts w:ascii="Calibri" w:hAnsi="Calibri" w:cs="Calibri"/>
          <w:sz w:val="32"/>
        </w:rPr>
        <w:t>Działanie FEPM.04.01 Infrastruktura drogowa</w:t>
      </w:r>
      <w:bookmarkEnd w:id="8"/>
    </w:p>
    <w:p w:rsidR="00BE25CB" w:rsidRDefault="00BE25CB">
      <w:pPr>
        <w:rPr>
          <w:rFonts w:ascii="Calibri" w:hAnsi="Calibri"/>
          <w:sz w:val="32"/>
        </w:rPr>
      </w:pPr>
    </w:p>
    <w:p w:rsidR="00BE25CB" w:rsidRDefault="004F760C">
      <w:pPr>
        <w:rPr>
          <w:b/>
          <w:sz w:val="28"/>
        </w:rPr>
      </w:pPr>
      <w:r>
        <w:rPr>
          <w:b/>
          <w:sz w:val="28"/>
        </w:rPr>
        <w:t>Cel szczegółowy</w:t>
      </w:r>
    </w:p>
    <w:p w:rsidR="00BE25CB" w:rsidRDefault="004F760C">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BE25CB" w:rsidRDefault="004F760C">
      <w:pPr>
        <w:rPr>
          <w:b/>
          <w:sz w:val="28"/>
        </w:rPr>
      </w:pPr>
      <w:r>
        <w:rPr>
          <w:b/>
          <w:sz w:val="28"/>
        </w:rPr>
        <w:t>Wysokość alokacji UE (EUR)</w:t>
      </w:r>
    </w:p>
    <w:p w:rsidR="00BE25CB" w:rsidRDefault="004F760C">
      <w:pPr>
        <w:rPr>
          <w:b/>
          <w:sz w:val="28"/>
        </w:rPr>
      </w:pPr>
      <w:r>
        <w:rPr>
          <w:sz w:val="28"/>
        </w:rPr>
        <w:t>132 110 883,00</w:t>
      </w:r>
    </w:p>
    <w:p w:rsidR="00BE25CB" w:rsidRDefault="004F760C">
      <w:pPr>
        <w:rPr>
          <w:b/>
          <w:sz w:val="28"/>
        </w:rPr>
      </w:pPr>
      <w:r>
        <w:rPr>
          <w:b/>
          <w:sz w:val="28"/>
        </w:rPr>
        <w:t>Zakres interwencji</w:t>
      </w:r>
    </w:p>
    <w:p w:rsidR="00BE25CB" w:rsidRDefault="004F760C">
      <w:pPr>
        <w:rPr>
          <w:b/>
          <w:sz w:val="28"/>
        </w:rPr>
      </w:pPr>
      <w:r>
        <w:rPr>
          <w:sz w:val="28"/>
        </w:rPr>
        <w:t>093 - Inne drogi przebudowane lub zmodernizowane (autostrady, drogi krajowe, regionalne lub lokalne), 090 - Nowo wybudowane lub rozbudowane inne krajowe, regionalne i lokalne drogi dojazdowe</w:t>
      </w:r>
    </w:p>
    <w:p w:rsidR="00BE25CB" w:rsidRDefault="004F760C">
      <w:pPr>
        <w:rPr>
          <w:b/>
          <w:sz w:val="28"/>
        </w:rPr>
      </w:pPr>
      <w:r>
        <w:rPr>
          <w:b/>
          <w:sz w:val="28"/>
        </w:rPr>
        <w:t>Opis działania</w:t>
      </w:r>
    </w:p>
    <w:p w:rsidR="00BE25CB" w:rsidRDefault="004F760C">
      <w:pPr>
        <w:rPr>
          <w:b/>
          <w:sz w:val="28"/>
        </w:rPr>
      </w:pPr>
      <w:r>
        <w:rPr>
          <w:sz w:val="28"/>
        </w:rPr>
        <w:t xml:space="preserve">W ramach Działania wspierane będą projekty prowadzące do rozwoju mobilności regionalnej poprzez rozwój infrastruktury dróg wojewódzkich, realizowane w sposób kompleksowy i koordynowany przez Samorząd Województwa Pomorskiego. </w:t>
      </w:r>
    </w:p>
    <w:p w:rsidR="00BE25CB" w:rsidRDefault="004F760C">
      <w:pPr>
        <w:rPr>
          <w:b/>
          <w:sz w:val="28"/>
        </w:rPr>
      </w:pPr>
      <w:r>
        <w:rPr>
          <w:sz w:val="28"/>
        </w:rPr>
        <w:t>Przedmiotem projektów będą wyłącznie inwestycje stanowiące elementy następujących przedsięwzięć strategicznych:</w:t>
      </w:r>
    </w:p>
    <w:p w:rsidR="00BE25CB" w:rsidRDefault="004F760C">
      <w:pPr>
        <w:rPr>
          <w:b/>
          <w:sz w:val="28"/>
        </w:rPr>
      </w:pPr>
      <w:r>
        <w:rPr>
          <w:sz w:val="28"/>
        </w:rPr>
        <w:t xml:space="preserve">1. „Pakiet przedsięwzięć w zakresie rozbudowy podstawowego układu dróg wojewódzkich dowiązujących region do węzłów sieci TEN-T”, </w:t>
      </w:r>
    </w:p>
    <w:p w:rsidR="00BE25CB" w:rsidRDefault="004F760C">
      <w:pPr>
        <w:rPr>
          <w:b/>
          <w:sz w:val="28"/>
        </w:rPr>
      </w:pPr>
      <w:r>
        <w:rPr>
          <w:sz w:val="28"/>
        </w:rPr>
        <w:lastRenderedPageBreak/>
        <w:t>2. „Pakiet przedsięwzięć w zakresie budowy podstawowego układu dróg wojewódzkich dowiązujących region do węzłów drogowych sieci TEN-T”</w:t>
      </w:r>
    </w:p>
    <w:p w:rsidR="00BE25CB" w:rsidRDefault="004F760C">
      <w:pPr>
        <w:rPr>
          <w:b/>
          <w:sz w:val="28"/>
        </w:rPr>
      </w:pPr>
      <w:r>
        <w:rPr>
          <w:sz w:val="28"/>
        </w:rPr>
        <w:t>wpisanych do Regionalnego Programu Strategicznego w zakresie mobilności i komunikacji.</w:t>
      </w:r>
    </w:p>
    <w:p w:rsidR="00BE25CB" w:rsidRDefault="004F760C">
      <w:pPr>
        <w:rPr>
          <w:b/>
          <w:sz w:val="28"/>
        </w:rPr>
      </w:pPr>
      <w:r>
        <w:rPr>
          <w:sz w:val="28"/>
        </w:rPr>
        <w:t xml:space="preserve">Inwestycje będą służyły uzupełnianiu luk w zakresie bezpośrednich połączeń do sieci TEN-T, terenów inwestycyjnych, terminali intermodalnych/centrów logistycznych, węzłów transportowych. </w:t>
      </w:r>
    </w:p>
    <w:p w:rsidR="00BE25CB" w:rsidRDefault="004F760C">
      <w:pPr>
        <w:rPr>
          <w:b/>
          <w:sz w:val="28"/>
        </w:rPr>
      </w:pPr>
      <w:r>
        <w:rPr>
          <w:sz w:val="28"/>
        </w:rP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p>
    <w:p w:rsidR="00BE25CB" w:rsidRDefault="004F760C">
      <w:pPr>
        <w:rPr>
          <w:b/>
          <w:sz w:val="28"/>
        </w:rPr>
      </w:pPr>
      <w:r>
        <w:rPr>
          <w:sz w:val="28"/>
        </w:rPr>
        <w:t xml:space="preserve">Typy projektów: </w:t>
      </w:r>
    </w:p>
    <w:p w:rsidR="00BE25CB" w:rsidRDefault="004F760C">
      <w:pPr>
        <w:rPr>
          <w:b/>
          <w:sz w:val="28"/>
        </w:rPr>
      </w:pPr>
      <w:r>
        <w:rPr>
          <w:sz w:val="28"/>
        </w:rPr>
        <w:t xml:space="preserve">Budowa, przebudowa i rozbudowa dróg wojewódzkich, m.in. w zakresie obwodnic, skrzyżowań, węzłów, poszerzeń przekroju jezdni, ciągów ruchu uspokojonego przy przejściach przez małe miejscowości i wzmocnienia nawierzchni drogowej. </w:t>
      </w:r>
    </w:p>
    <w:p w:rsidR="00BE25CB" w:rsidRDefault="004F760C">
      <w:pPr>
        <w:rPr>
          <w:b/>
          <w:sz w:val="28"/>
        </w:rPr>
      </w:pPr>
      <w:r>
        <w:rPr>
          <w:sz w:val="28"/>
        </w:rPr>
        <w:t>Ponadto, w ramach ww. typu projektu możliwe będą:</w:t>
      </w:r>
    </w:p>
    <w:p w:rsidR="00BE25CB" w:rsidRDefault="004F760C">
      <w:pPr>
        <w:rPr>
          <w:b/>
          <w:sz w:val="28"/>
        </w:rPr>
      </w:pPr>
      <w:r>
        <w:rPr>
          <w:sz w:val="28"/>
        </w:rPr>
        <w:t>a. budowa, przebudowa, rozbudowa lub remont drogowych obiektów inżynierskich, w tym m.in. mostów, wiaduktów, estakad, tuneli drogowych, kładek dla pieszych, przejść podziemnych, przepustów i przejść dla zwierząt;</w:t>
      </w:r>
    </w:p>
    <w:p w:rsidR="00BE25CB" w:rsidRDefault="004F760C">
      <w:pPr>
        <w:rPr>
          <w:b/>
          <w:sz w:val="28"/>
        </w:rPr>
      </w:pPr>
      <w:r>
        <w:rPr>
          <w:sz w:val="28"/>
        </w:rPr>
        <w:t xml:space="preserve">b. budowa, przebudowa i rozbudowa wyposażenia technicznego dróg, w tym m.in. urządzeń odwadniających, oświetlenia, obsługi uczestników ruchu i urządzeń technicznych (np. bariery ochronne, osłony </w:t>
      </w:r>
      <w:proofErr w:type="spellStart"/>
      <w:r>
        <w:rPr>
          <w:sz w:val="28"/>
        </w:rPr>
        <w:t>przeciwolśnieniowe</w:t>
      </w:r>
      <w:proofErr w:type="spellEnd"/>
      <w:r>
        <w:rPr>
          <w:sz w:val="28"/>
        </w:rPr>
        <w:t>, ekrany akustyczne, zieleń);</w:t>
      </w:r>
    </w:p>
    <w:p w:rsidR="00BE25CB" w:rsidRDefault="004F760C">
      <w:pPr>
        <w:rPr>
          <w:b/>
          <w:sz w:val="28"/>
        </w:rPr>
      </w:pPr>
      <w:r>
        <w:rPr>
          <w:sz w:val="28"/>
        </w:rPr>
        <w:t>c. budowa, przebudowa i rozbudowa dróg dla pieszych, chodników, dróg rowerowych, ciągów pieszo-jezdnych, zatok autobusowych, kanalizacji teletechnicznej;</w:t>
      </w:r>
    </w:p>
    <w:p w:rsidR="00BE25CB" w:rsidRDefault="004F760C">
      <w:pPr>
        <w:rPr>
          <w:b/>
          <w:sz w:val="28"/>
        </w:rPr>
      </w:pPr>
      <w:r>
        <w:rPr>
          <w:sz w:val="28"/>
        </w:rPr>
        <w:lastRenderedPageBreak/>
        <w:t>d. budowa, przebudowa i rozbudowa urządzeń organizacji i bezpieczeństwa ruchu drogowego, w tym m. in. urządzeń sterowania ruchem, środków uspokojenia ruchu, urządzeń systemu zarządzania bezpieczeństwem ruchu;</w:t>
      </w:r>
    </w:p>
    <w:p w:rsidR="00BE25CB" w:rsidRDefault="004F760C">
      <w:pPr>
        <w:rPr>
          <w:b/>
          <w:sz w:val="28"/>
        </w:rPr>
      </w:pPr>
      <w:r>
        <w:rPr>
          <w:sz w:val="28"/>
        </w:rPr>
        <w:t>e. usunięcie kolizji z urządzeniami obcymi;</w:t>
      </w:r>
    </w:p>
    <w:p w:rsidR="00BE25CB" w:rsidRDefault="004F760C">
      <w:pPr>
        <w:rPr>
          <w:b/>
          <w:sz w:val="28"/>
        </w:rPr>
      </w:pPr>
      <w:r>
        <w:rPr>
          <w:sz w:val="28"/>
        </w:rPr>
        <w:t>f. realizacja działań w zakresie inteligentnych systemów transportowych (ITS).</w:t>
      </w:r>
    </w:p>
    <w:p w:rsidR="00BE25CB" w:rsidRDefault="004F760C">
      <w:pPr>
        <w:rPr>
          <w:b/>
          <w:sz w:val="28"/>
        </w:rPr>
      </w:pPr>
      <w:r>
        <w:rPr>
          <w:sz w:val="28"/>
        </w:rPr>
        <w:t>Najważniejsze warunki realizacji projektów:</w:t>
      </w:r>
    </w:p>
    <w:p w:rsidR="00BE25CB" w:rsidRDefault="004F760C">
      <w:pPr>
        <w:rPr>
          <w:b/>
          <w:sz w:val="28"/>
        </w:rPr>
      </w:pPr>
      <w:r>
        <w:rPr>
          <w:sz w:val="28"/>
        </w:rP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p>
    <w:p w:rsidR="00BE25CB" w:rsidRDefault="004F760C">
      <w:pPr>
        <w:rPr>
          <w:b/>
          <w:sz w:val="28"/>
        </w:rPr>
      </w:pPr>
      <w:r>
        <w:rPr>
          <w:sz w:val="28"/>
        </w:rPr>
        <w:t>2. Inwestycje realizowane w miastach będą musiały być spójne z właściwym Planem Zrównoważonej Mobilności Miejskiej, a jeśli nie jest on wymagany – z innym właściwym dokumentem planowania mobilności miejskiej.</w:t>
      </w:r>
    </w:p>
    <w:p w:rsidR="00BE25CB" w:rsidRDefault="004F760C">
      <w:pPr>
        <w:rPr>
          <w:b/>
          <w:sz w:val="28"/>
        </w:rPr>
      </w:pPr>
      <w:r>
        <w:rPr>
          <w:sz w:val="28"/>
        </w:rPr>
        <w:t>3. Inwestycje muszą zapewnić dostosowanie nośności dróg do nacisku 11,5 tony na oś.</w:t>
      </w:r>
    </w:p>
    <w:p w:rsidR="00BE25CB" w:rsidRDefault="004F760C">
      <w:pPr>
        <w:rPr>
          <w:b/>
          <w:sz w:val="28"/>
        </w:rPr>
      </w:pPr>
      <w:r>
        <w:rPr>
          <w:sz w:val="28"/>
        </w:rPr>
        <w:t>4. Tam gdzie jest to technicznie możliwe - projekty powinny obejmować elementy dotyczące retencji i podczyszczania wód opadowych poprzez wykorzystanie zielonej i niebieskiej infrastruktury oraz rozwiązań opartych na przyrodzie.</w:t>
      </w:r>
    </w:p>
    <w:p w:rsidR="00BE25CB" w:rsidRDefault="004F760C">
      <w:pPr>
        <w:rPr>
          <w:b/>
          <w:sz w:val="28"/>
        </w:rPr>
      </w:pPr>
      <w:r>
        <w:rPr>
          <w:sz w:val="28"/>
        </w:rP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p>
    <w:p w:rsidR="00BE25CB" w:rsidRDefault="004F760C">
      <w:pPr>
        <w:rPr>
          <w:b/>
          <w:sz w:val="28"/>
        </w:rPr>
      </w:pPr>
      <w:r>
        <w:rPr>
          <w:sz w:val="28"/>
        </w:rPr>
        <w:lastRenderedPageBreak/>
        <w:t>6. Inwestycje muszą uwzględniać kwestie bezpieczeństwa, w szczególności na rzecz niezmotoryzowanych i niechronionych (pieszych, rowerzystów) uczestników ruchu.</w:t>
      </w:r>
    </w:p>
    <w:p w:rsidR="00BE25CB" w:rsidRDefault="004F760C">
      <w:pPr>
        <w:rPr>
          <w:b/>
          <w:sz w:val="28"/>
        </w:rPr>
      </w:pPr>
      <w:r>
        <w:rPr>
          <w:sz w:val="28"/>
        </w:rPr>
        <w:t>7. Projekty na każdym etapie realizacji inwestycji muszą zapewnić poszanowanie praw podstawowych oraz przestrzeganie Karty praw podstawowych Unii Europejskiej tj.: być zgodne z zasadami horyzontalnymi dotyczącymi:</w:t>
      </w:r>
    </w:p>
    <w:p w:rsidR="00BE25CB" w:rsidRDefault="004F760C">
      <w:pPr>
        <w:rPr>
          <w:b/>
          <w:sz w:val="28"/>
        </w:rPr>
      </w:pPr>
      <w:r>
        <w:rPr>
          <w:sz w:val="28"/>
        </w:rPr>
        <w:t>- równości szans kobiet i mężczyzn,</w:t>
      </w:r>
    </w:p>
    <w:p w:rsidR="00BE25CB" w:rsidRDefault="004F760C">
      <w:pPr>
        <w:rPr>
          <w:b/>
          <w:sz w:val="28"/>
        </w:rPr>
      </w:pPr>
      <w:r>
        <w:rPr>
          <w:sz w:val="28"/>
        </w:rPr>
        <w:t>- zapobiegania wszelkiej dyskryminacji,</w:t>
      </w:r>
    </w:p>
    <w:p w:rsidR="00BE25CB" w:rsidRDefault="004F760C">
      <w:pPr>
        <w:rPr>
          <w:b/>
          <w:sz w:val="28"/>
        </w:rPr>
      </w:pPr>
      <w:r>
        <w:rPr>
          <w:sz w:val="28"/>
        </w:rPr>
        <w:t>- zapewnienia dostępności dla osób o ograniczonej mobilności oraz z niepełnosprawnościami,</w:t>
      </w:r>
    </w:p>
    <w:p w:rsidR="00BE25CB" w:rsidRDefault="004F760C">
      <w:pPr>
        <w:rPr>
          <w:b/>
          <w:sz w:val="28"/>
        </w:rPr>
      </w:pPr>
      <w:r>
        <w:rPr>
          <w:sz w:val="28"/>
        </w:rPr>
        <w:t>- wspierania zrównoważonego rozwoju, z uwzględnieniem zasady „nie czyń poważnych szkód” (DNSH),</w:t>
      </w:r>
    </w:p>
    <w:p w:rsidR="00BE25CB" w:rsidRDefault="004F760C">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  </w:t>
      </w:r>
    </w:p>
    <w:p w:rsidR="00BE25CB" w:rsidRDefault="004F760C">
      <w:pPr>
        <w:rPr>
          <w:b/>
          <w:sz w:val="28"/>
        </w:rPr>
      </w:pPr>
      <w:r>
        <w:rPr>
          <w:sz w:val="28"/>
        </w:rPr>
        <w:t>Ukierunkowanie terytorialne:</w:t>
      </w:r>
    </w:p>
    <w:p w:rsidR="00BE25CB" w:rsidRDefault="004F760C">
      <w:pPr>
        <w:rPr>
          <w:b/>
          <w:sz w:val="28"/>
        </w:rPr>
      </w:pPr>
      <w:r>
        <w:rPr>
          <w:sz w:val="28"/>
        </w:rPr>
        <w:t>Obszar całego województwa.</w:t>
      </w:r>
    </w:p>
    <w:p w:rsidR="00BE25CB" w:rsidRDefault="004F760C">
      <w:pPr>
        <w:rPr>
          <w:b/>
          <w:sz w:val="28"/>
        </w:rPr>
      </w:pPr>
      <w:r>
        <w:rPr>
          <w:sz w:val="28"/>
        </w:rPr>
        <w:t>Preferowane będą projekty posiadające dokumentację przygotowawczą sfinansowaną w ramach perspektywy 2014-2020.</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t>85</w:t>
      </w:r>
    </w:p>
    <w:p w:rsidR="00BE25CB" w:rsidRDefault="004F760C">
      <w:pPr>
        <w:rPr>
          <w:b/>
          <w:sz w:val="28"/>
        </w:rPr>
      </w:pPr>
      <w:r>
        <w:rPr>
          <w:b/>
          <w:sz w:val="28"/>
        </w:rPr>
        <w:lastRenderedPageBreak/>
        <w:t>Pomoc publiczna – unijna podstawa prawna</w:t>
      </w:r>
    </w:p>
    <w:p w:rsidR="00BE25CB" w:rsidRDefault="004F760C">
      <w:pPr>
        <w:rPr>
          <w:b/>
          <w:sz w:val="28"/>
        </w:rPr>
      </w:pPr>
      <w:r>
        <w:rPr>
          <w:sz w:val="28"/>
        </w:rPr>
        <w:t>Bez pomocy</w:t>
      </w:r>
    </w:p>
    <w:p w:rsidR="00BE25CB" w:rsidRDefault="004F760C">
      <w:pPr>
        <w:rPr>
          <w:b/>
          <w:sz w:val="28"/>
        </w:rPr>
      </w:pPr>
      <w:r>
        <w:rPr>
          <w:b/>
          <w:sz w:val="28"/>
        </w:rPr>
        <w:t>Pomoc publiczna – krajowa podstawa prawna</w:t>
      </w:r>
    </w:p>
    <w:p w:rsidR="00BE25CB" w:rsidRDefault="004F760C">
      <w:pPr>
        <w:rPr>
          <w:b/>
          <w:sz w:val="28"/>
        </w:rPr>
      </w:pPr>
      <w:r>
        <w:rPr>
          <w:sz w:val="28"/>
        </w:rPr>
        <w:t>Bez pomocy</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t>Sposób wyboru projektów</w:t>
      </w:r>
    </w:p>
    <w:p w:rsidR="00BE25CB" w:rsidRDefault="004F760C">
      <w:pPr>
        <w:rPr>
          <w:b/>
          <w:sz w:val="28"/>
        </w:rPr>
      </w:pPr>
      <w:r>
        <w:rPr>
          <w:sz w:val="28"/>
        </w:rPr>
        <w:t>Niekonkurencyjny</w:t>
      </w:r>
    </w:p>
    <w:p w:rsidR="00BE25CB" w:rsidRDefault="004F760C">
      <w:pPr>
        <w:rPr>
          <w:b/>
          <w:sz w:val="28"/>
        </w:rPr>
      </w:pPr>
      <w:r>
        <w:rPr>
          <w:b/>
          <w:sz w:val="28"/>
        </w:rPr>
        <w:t>Realizacja instrumentów terytorialnych</w:t>
      </w:r>
    </w:p>
    <w:p w:rsidR="00BE25CB" w:rsidRDefault="004F760C">
      <w:pPr>
        <w:rPr>
          <w:b/>
          <w:sz w:val="28"/>
        </w:rPr>
      </w:pPr>
      <w:r>
        <w:rPr>
          <w:sz w:val="28"/>
        </w:rPr>
        <w:t>Nie dotyczy</w:t>
      </w:r>
    </w:p>
    <w:p w:rsidR="00BE25CB" w:rsidRDefault="004F760C">
      <w:pPr>
        <w:rPr>
          <w:b/>
          <w:sz w:val="28"/>
        </w:rPr>
      </w:pPr>
      <w:r>
        <w:rPr>
          <w:b/>
          <w:sz w:val="28"/>
        </w:rPr>
        <w:t>Typ beneficjenta – ogólny</w:t>
      </w:r>
    </w:p>
    <w:p w:rsidR="00BE25CB" w:rsidRDefault="004F760C">
      <w:pPr>
        <w:rPr>
          <w:b/>
          <w:sz w:val="28"/>
        </w:rPr>
      </w:pPr>
      <w:r>
        <w:rPr>
          <w:sz w:val="28"/>
        </w:rPr>
        <w:t>Służby publiczne, Administracja publiczna</w:t>
      </w:r>
    </w:p>
    <w:p w:rsidR="00BE25CB" w:rsidRDefault="004F760C">
      <w:pPr>
        <w:rPr>
          <w:b/>
          <w:sz w:val="28"/>
        </w:rPr>
      </w:pPr>
      <w:r>
        <w:rPr>
          <w:b/>
          <w:sz w:val="28"/>
        </w:rPr>
        <w:t>Typ beneficjenta – szczegółowy</w:t>
      </w:r>
    </w:p>
    <w:p w:rsidR="00BE25CB" w:rsidRDefault="004F760C">
      <w:pPr>
        <w:rPr>
          <w:b/>
          <w:sz w:val="28"/>
        </w:rPr>
      </w:pPr>
      <w:r>
        <w:rPr>
          <w:sz w:val="28"/>
        </w:rPr>
        <w:t>Zarządcy dróg publicznych, Jednostki organizacyjne działające w imieniu jednostek samorządu terytorialnego, Jednostki Samorządu Terytorialnego</w:t>
      </w:r>
    </w:p>
    <w:p w:rsidR="00BE25CB" w:rsidRDefault="004F760C">
      <w:pPr>
        <w:rPr>
          <w:b/>
          <w:sz w:val="28"/>
        </w:rPr>
      </w:pPr>
      <w:r>
        <w:rPr>
          <w:b/>
          <w:sz w:val="28"/>
        </w:rPr>
        <w:t>Grupa docelowa</w:t>
      </w:r>
    </w:p>
    <w:p w:rsidR="00BE25CB" w:rsidRDefault="004F760C">
      <w:pPr>
        <w:rPr>
          <w:b/>
          <w:sz w:val="28"/>
        </w:rPr>
      </w:pPr>
      <w:r>
        <w:rPr>
          <w:sz w:val="28"/>
        </w:rPr>
        <w:t>użytkownicy indywidualni korzystający z infrastruktury</w:t>
      </w:r>
    </w:p>
    <w:p w:rsidR="00BE25CB" w:rsidRDefault="004F760C">
      <w:pPr>
        <w:rPr>
          <w:b/>
          <w:sz w:val="28"/>
        </w:rPr>
      </w:pPr>
      <w:r>
        <w:rPr>
          <w:b/>
          <w:sz w:val="28"/>
        </w:rPr>
        <w:t>Słowa kluczowe</w:t>
      </w:r>
    </w:p>
    <w:p w:rsidR="00BE25CB" w:rsidRDefault="004F760C">
      <w:pPr>
        <w:rPr>
          <w:b/>
          <w:sz w:val="28"/>
        </w:rPr>
      </w:pPr>
      <w:r>
        <w:rPr>
          <w:sz w:val="28"/>
        </w:rPr>
        <w:lastRenderedPageBreak/>
        <w:t xml:space="preserve">drogi, </w:t>
      </w:r>
      <w:proofErr w:type="spellStart"/>
      <w:r>
        <w:rPr>
          <w:sz w:val="28"/>
        </w:rPr>
        <w:t>bezpieczeństwo_ruchu</w:t>
      </w:r>
      <w:proofErr w:type="spellEnd"/>
      <w:r>
        <w:rPr>
          <w:sz w:val="28"/>
        </w:rPr>
        <w:t xml:space="preserve">, </w:t>
      </w:r>
      <w:proofErr w:type="spellStart"/>
      <w:r>
        <w:rPr>
          <w:sz w:val="28"/>
        </w:rPr>
        <w:t>drogi_wojewódzkie</w:t>
      </w:r>
      <w:proofErr w:type="spellEnd"/>
      <w:r>
        <w:rPr>
          <w:sz w:val="28"/>
        </w:rPr>
        <w:t>, obwodnice</w:t>
      </w:r>
    </w:p>
    <w:p w:rsidR="00BE25CB" w:rsidRDefault="004F760C">
      <w:pPr>
        <w:rPr>
          <w:b/>
          <w:sz w:val="28"/>
        </w:rPr>
      </w:pPr>
      <w:r>
        <w:rPr>
          <w:b/>
          <w:sz w:val="28"/>
        </w:rPr>
        <w:t>Wskaźniki produktu</w:t>
      </w:r>
    </w:p>
    <w:p w:rsidR="00BE25CB" w:rsidRDefault="004F760C">
      <w:pPr>
        <w:rPr>
          <w:b/>
          <w:sz w:val="28"/>
        </w:rPr>
      </w:pPr>
      <w:r>
        <w:rPr>
          <w:sz w:val="28"/>
        </w:rPr>
        <w:t>WLWK-RCO046 - Długość dróg przebudowanych lub zmodernizowanych – poza TEN-T</w:t>
      </w:r>
    </w:p>
    <w:p w:rsidR="00BE25CB" w:rsidRDefault="004F760C">
      <w:pPr>
        <w:rPr>
          <w:b/>
          <w:sz w:val="28"/>
        </w:rPr>
      </w:pPr>
      <w:r>
        <w:rPr>
          <w:sz w:val="28"/>
        </w:rPr>
        <w:t>WLWK-RCO058 - Wspierana infrastruktura rowerowa</w:t>
      </w:r>
    </w:p>
    <w:p w:rsidR="00BE25CB" w:rsidRDefault="004F760C">
      <w:pPr>
        <w:rPr>
          <w:b/>
          <w:sz w:val="28"/>
        </w:rPr>
      </w:pPr>
      <w:r>
        <w:rPr>
          <w:b/>
          <w:sz w:val="28"/>
        </w:rPr>
        <w:t>Wskaźniki rezultatu</w:t>
      </w:r>
    </w:p>
    <w:p w:rsidR="00BE25CB" w:rsidRDefault="004F760C">
      <w:pPr>
        <w:rPr>
          <w:b/>
          <w:sz w:val="28"/>
        </w:rPr>
      </w:pPr>
      <w:r>
        <w:rPr>
          <w:sz w:val="28"/>
        </w:rPr>
        <w:t>WLWK-RCR056 - Oszczędność czasu dzięki udoskonalonej infrastrukturze drogowej</w:t>
      </w:r>
    </w:p>
    <w:p w:rsidR="00BE25CB" w:rsidRDefault="004F760C">
      <w:pPr>
        <w:rPr>
          <w:b/>
          <w:sz w:val="28"/>
        </w:rPr>
      </w:pPr>
      <w:r>
        <w:rPr>
          <w:sz w:val="28"/>
        </w:rPr>
        <w:t>WLWK-RCR055 - Roczna liczba użytkowników nowo wybudowanych, przebudowanych, rozbudowanych lub zmodernizowanych dróg</w:t>
      </w:r>
    </w:p>
    <w:p w:rsidR="00BE25CB" w:rsidRDefault="00BE25CB">
      <w:pPr>
        <w:rPr>
          <w:b/>
          <w:sz w:val="28"/>
        </w:rPr>
      </w:pPr>
    </w:p>
    <w:p w:rsidR="00BE25CB" w:rsidRDefault="004F760C">
      <w:pPr>
        <w:pStyle w:val="Nagwek3"/>
        <w:rPr>
          <w:rFonts w:ascii="Calibri" w:hAnsi="Calibri" w:cs="Calibri"/>
          <w:sz w:val="32"/>
        </w:rPr>
      </w:pPr>
      <w:bookmarkStart w:id="9" w:name="_Toc128650875"/>
      <w:r>
        <w:rPr>
          <w:rFonts w:ascii="Calibri" w:hAnsi="Calibri" w:cs="Calibri"/>
          <w:sz w:val="32"/>
        </w:rPr>
        <w:t>Działanie FEPM.04.02 Tabor kolejowy</w:t>
      </w:r>
      <w:bookmarkEnd w:id="9"/>
    </w:p>
    <w:p w:rsidR="00BE25CB" w:rsidRDefault="00BE25CB">
      <w:pPr>
        <w:rPr>
          <w:rFonts w:ascii="Calibri" w:hAnsi="Calibri"/>
          <w:sz w:val="32"/>
        </w:rPr>
      </w:pPr>
    </w:p>
    <w:p w:rsidR="00BE25CB" w:rsidRDefault="004F760C">
      <w:pPr>
        <w:rPr>
          <w:b/>
          <w:sz w:val="28"/>
        </w:rPr>
      </w:pPr>
      <w:r>
        <w:rPr>
          <w:b/>
          <w:sz w:val="28"/>
        </w:rPr>
        <w:t>Cel szczegółowy</w:t>
      </w:r>
    </w:p>
    <w:p w:rsidR="00BE25CB" w:rsidRDefault="004F760C">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transgranicznej</w:t>
      </w:r>
    </w:p>
    <w:p w:rsidR="00BE25CB" w:rsidRDefault="004F760C">
      <w:pPr>
        <w:rPr>
          <w:b/>
          <w:sz w:val="28"/>
        </w:rPr>
      </w:pPr>
      <w:r>
        <w:rPr>
          <w:b/>
          <w:sz w:val="28"/>
        </w:rPr>
        <w:t>Wysokość alokacji UE (EUR)</w:t>
      </w:r>
    </w:p>
    <w:p w:rsidR="00BE25CB" w:rsidRDefault="004F760C">
      <w:pPr>
        <w:rPr>
          <w:b/>
          <w:sz w:val="28"/>
        </w:rPr>
      </w:pPr>
      <w:r>
        <w:rPr>
          <w:sz w:val="28"/>
        </w:rPr>
        <w:t>118 610 885,00</w:t>
      </w:r>
    </w:p>
    <w:p w:rsidR="00BE25CB" w:rsidRDefault="004F760C">
      <w:pPr>
        <w:rPr>
          <w:b/>
          <w:sz w:val="28"/>
        </w:rPr>
      </w:pPr>
      <w:r>
        <w:rPr>
          <w:b/>
          <w:sz w:val="28"/>
        </w:rPr>
        <w:t>Zakres interwencji</w:t>
      </w:r>
    </w:p>
    <w:p w:rsidR="00BE25CB" w:rsidRDefault="004F760C">
      <w:pPr>
        <w:rPr>
          <w:b/>
          <w:sz w:val="28"/>
        </w:rPr>
      </w:pPr>
      <w:r>
        <w:rPr>
          <w:sz w:val="28"/>
        </w:rPr>
        <w:t xml:space="preserve">107 - </w:t>
      </w:r>
      <w:proofErr w:type="spellStart"/>
      <w:r>
        <w:rPr>
          <w:sz w:val="28"/>
        </w:rPr>
        <w:t>Bezemisyjny</w:t>
      </w:r>
      <w:proofErr w:type="spellEnd"/>
      <w:r>
        <w:rPr>
          <w:sz w:val="28"/>
        </w:rPr>
        <w:t xml:space="preserve"> / zasilany energią elektryczną tabor kolejowy</w:t>
      </w:r>
    </w:p>
    <w:p w:rsidR="00BE25CB" w:rsidRDefault="004F760C">
      <w:pPr>
        <w:rPr>
          <w:b/>
          <w:sz w:val="28"/>
        </w:rPr>
      </w:pPr>
      <w:r>
        <w:rPr>
          <w:b/>
          <w:sz w:val="28"/>
        </w:rPr>
        <w:t>Opis działania</w:t>
      </w:r>
    </w:p>
    <w:p w:rsidR="00BE25CB" w:rsidRDefault="004F760C">
      <w:pPr>
        <w:rPr>
          <w:b/>
          <w:sz w:val="28"/>
        </w:rPr>
      </w:pPr>
      <w:r>
        <w:rPr>
          <w:sz w:val="28"/>
        </w:rPr>
        <w:lastRenderedPageBreak/>
        <w:t>W ramach Działania wspierane będą projekty prowadzące do rozwoju mobilności regionalnej poprzez zakup taboru kolejowego do przewozów o charakterze regionalnym, realizowane w sposób kompleksowy i koordynowany przez Samorząd Województwa Pomorskiego.</w:t>
      </w:r>
    </w:p>
    <w:p w:rsidR="00BE25CB" w:rsidRDefault="004F760C">
      <w:pPr>
        <w:rPr>
          <w:b/>
          <w:sz w:val="28"/>
        </w:rPr>
      </w:pPr>
      <w:r>
        <w:rPr>
          <w:sz w:val="28"/>
        </w:rPr>
        <w:t>Interwencja w ramach Działania ma na celu zwiększenie przewozów w regionalnym pasażerskim transporcie kolejowym.</w:t>
      </w:r>
    </w:p>
    <w:p w:rsidR="00BE25CB" w:rsidRDefault="004F760C">
      <w:pPr>
        <w:rPr>
          <w:b/>
          <w:sz w:val="28"/>
        </w:rPr>
      </w:pPr>
      <w:r>
        <w:rPr>
          <w:sz w:val="28"/>
        </w:rP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p>
    <w:p w:rsidR="00BE25CB" w:rsidRDefault="004F760C">
      <w:pPr>
        <w:rPr>
          <w:b/>
          <w:sz w:val="28"/>
        </w:rPr>
      </w:pPr>
      <w:r>
        <w:rPr>
          <w:sz w:val="28"/>
        </w:rPr>
        <w:t>Typy projektów:</w:t>
      </w:r>
    </w:p>
    <w:p w:rsidR="00BE25CB" w:rsidRDefault="004F760C">
      <w:pPr>
        <w:rPr>
          <w:b/>
          <w:sz w:val="28"/>
        </w:rPr>
      </w:pPr>
      <w:r>
        <w:rPr>
          <w:sz w:val="28"/>
        </w:rPr>
        <w:t xml:space="preserve">1. Zakup zeroemisyjnego taboru kolejowego wykorzystywanego w regionalnych przewozach pasażerskich, spełniającego wymagania Europejskiego Systemu Zarządzania Ruchem Kolejowym (ERTMS); </w:t>
      </w:r>
    </w:p>
    <w:p w:rsidR="00BE25CB" w:rsidRDefault="004F760C">
      <w:pPr>
        <w:rPr>
          <w:b/>
          <w:sz w:val="28"/>
        </w:rPr>
      </w:pPr>
      <w:r>
        <w:rPr>
          <w:sz w:val="28"/>
        </w:rPr>
        <w:t>2. Budowa, rozbudowa lub przebudowa istniejącej infrastruktury utrzymaniowo-naprawczej służącej do obsługi w szczególności taboru, o którym mowa w pierwszym typie projektu.</w:t>
      </w:r>
    </w:p>
    <w:p w:rsidR="00BE25CB" w:rsidRDefault="004F760C">
      <w:pPr>
        <w:rPr>
          <w:b/>
          <w:sz w:val="28"/>
        </w:rPr>
      </w:pPr>
      <w:r>
        <w:rPr>
          <w:sz w:val="28"/>
        </w:rPr>
        <w:t>Najważniejsze warunki realizacji projektów:</w:t>
      </w:r>
    </w:p>
    <w:p w:rsidR="00BE25CB" w:rsidRDefault="004F760C">
      <w:pPr>
        <w:rPr>
          <w:b/>
          <w:sz w:val="28"/>
        </w:rPr>
      </w:pPr>
      <w:r>
        <w:rPr>
          <w:sz w:val="28"/>
        </w:rP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p>
    <w:p w:rsidR="00BE25CB" w:rsidRDefault="004F760C">
      <w:pPr>
        <w:rPr>
          <w:b/>
          <w:sz w:val="28"/>
        </w:rPr>
      </w:pPr>
      <w:r>
        <w:rPr>
          <w:sz w:val="28"/>
        </w:rPr>
        <w:t>2. Inwestycje dotyczące infrastruktury utrzymaniowo-naprawczej realizowane w miastach będą musiały być spójne z właściwymi Planami Zrównoważonej Mobilności Miejskiej, a jeśli nie są one wymagane – z innymi właściwymi dokumentami planowania mobilności miejskiej;</w:t>
      </w:r>
    </w:p>
    <w:p w:rsidR="00BE25CB" w:rsidRDefault="004F760C">
      <w:pPr>
        <w:rPr>
          <w:b/>
          <w:sz w:val="28"/>
        </w:rPr>
      </w:pPr>
      <w:r>
        <w:rPr>
          <w:sz w:val="28"/>
        </w:rPr>
        <w:lastRenderedPageBreak/>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p>
    <w:p w:rsidR="00BE25CB" w:rsidRDefault="004F760C">
      <w:pPr>
        <w:rPr>
          <w:b/>
          <w:sz w:val="28"/>
        </w:rPr>
      </w:pPr>
      <w:r>
        <w:rPr>
          <w:sz w:val="28"/>
        </w:rPr>
        <w:t>4. Projekty na każdym etapie realizacji inwestycji muszą zapewnić poszanowanie praw podstawowych oraz przestrzeganie Karty praw podstawowych Unii Europejskiej tj.: być zgodne z zasadami horyzontalnymi dotyczącymi:</w:t>
      </w:r>
    </w:p>
    <w:p w:rsidR="00BE25CB" w:rsidRDefault="004F760C">
      <w:pPr>
        <w:rPr>
          <w:b/>
          <w:sz w:val="28"/>
        </w:rPr>
      </w:pPr>
      <w:r>
        <w:rPr>
          <w:sz w:val="28"/>
        </w:rPr>
        <w:t>- równości szans kobiet i mężczyzn,</w:t>
      </w:r>
    </w:p>
    <w:p w:rsidR="00BE25CB" w:rsidRDefault="004F760C">
      <w:pPr>
        <w:rPr>
          <w:b/>
          <w:sz w:val="28"/>
        </w:rPr>
      </w:pPr>
      <w:r>
        <w:rPr>
          <w:sz w:val="28"/>
        </w:rPr>
        <w:t>- zapobiegania wszelkiej dyskryminacji,</w:t>
      </w:r>
    </w:p>
    <w:p w:rsidR="00BE25CB" w:rsidRDefault="004F760C">
      <w:pPr>
        <w:rPr>
          <w:b/>
          <w:sz w:val="28"/>
        </w:rPr>
      </w:pPr>
      <w:r>
        <w:rPr>
          <w:sz w:val="28"/>
        </w:rPr>
        <w:t>- zapewnienia dostępności dla osób o ograniczonej mobilności oraz z niepełnosprawnościami,</w:t>
      </w:r>
    </w:p>
    <w:p w:rsidR="00BE25CB" w:rsidRDefault="004F760C">
      <w:pPr>
        <w:rPr>
          <w:b/>
          <w:sz w:val="28"/>
        </w:rPr>
      </w:pPr>
      <w:r>
        <w:rPr>
          <w:sz w:val="28"/>
        </w:rPr>
        <w:t>- wspierania zrównoważonego rozwoju, z uwzględnieniem zasady „nie czyń poważnych szkód” (DNSH),</w:t>
      </w:r>
    </w:p>
    <w:p w:rsidR="00BE25CB" w:rsidRDefault="004F760C">
      <w:pPr>
        <w:rPr>
          <w:b/>
          <w:sz w:val="28"/>
        </w:rPr>
      </w:pPr>
      <w:r>
        <w:rPr>
          <w:sz w:val="28"/>
        </w:rPr>
        <w:t xml:space="preserve">zgodnie z Wytycznymi </w:t>
      </w:r>
      <w:proofErr w:type="spellStart"/>
      <w:r>
        <w:rPr>
          <w:sz w:val="28"/>
        </w:rPr>
        <w:t>MFiPR</w:t>
      </w:r>
      <w:proofErr w:type="spellEnd"/>
      <w:r>
        <w:rPr>
          <w:sz w:val="28"/>
        </w:rPr>
        <w:t xml:space="preserve"> dotyczącymi realizacji zasad równościowych w ramach funduszy unijnych na lata 2021-2027 oraz zapisami „Analizy spełniania zasady DNSH dla projektu programu Fundusze Europejskie dla Pomorza 2021–2027” w zakresie celu szczegółowego 3 (ii).</w:t>
      </w:r>
    </w:p>
    <w:p w:rsidR="00BE25CB" w:rsidRDefault="004F760C">
      <w:pPr>
        <w:rPr>
          <w:b/>
          <w:sz w:val="28"/>
        </w:rPr>
      </w:pPr>
      <w:r>
        <w:rPr>
          <w:sz w:val="28"/>
        </w:rPr>
        <w:t>Ukierunkowanie terytorialne:</w:t>
      </w:r>
    </w:p>
    <w:p w:rsidR="00BE25CB" w:rsidRDefault="004F760C">
      <w:pPr>
        <w:rPr>
          <w:b/>
          <w:sz w:val="28"/>
        </w:rPr>
      </w:pPr>
      <w:r>
        <w:rPr>
          <w:sz w:val="28"/>
        </w:rPr>
        <w:t>Obszar całego województwa.</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lastRenderedPageBreak/>
        <w:t>85</w:t>
      </w:r>
    </w:p>
    <w:p w:rsidR="00BE25CB" w:rsidRDefault="004F760C">
      <w:pPr>
        <w:rPr>
          <w:b/>
          <w:sz w:val="28"/>
        </w:rPr>
      </w:pPr>
      <w:r>
        <w:rPr>
          <w:b/>
          <w:sz w:val="28"/>
        </w:rPr>
        <w:t>Pomoc publiczna – unijna podstawa prawna</w:t>
      </w:r>
    </w:p>
    <w:p w:rsidR="00BE25CB" w:rsidRDefault="004F760C">
      <w:pPr>
        <w:rPr>
          <w:b/>
          <w:sz w:val="28"/>
        </w:rPr>
      </w:pPr>
      <w:r>
        <w:rPr>
          <w:sz w:val="28"/>
        </w:rPr>
        <w:t xml:space="preserve">Bez pomocy, Rozporządzenie  Komisji (UE) nr 1407/2013 z dnia 18 grudnia 2013 r. w sprawie stosowania art. 107 i 108 Traktatu o funkcjonowaniu Unii Europejskiej do pomocy de </w:t>
      </w:r>
      <w:proofErr w:type="spellStart"/>
      <w:r>
        <w:rPr>
          <w:sz w:val="28"/>
        </w:rPr>
        <w:t>minimis</w:t>
      </w:r>
      <w:proofErr w:type="spellEnd"/>
      <w:r>
        <w:rPr>
          <w:sz w:val="28"/>
        </w:rPr>
        <w:t xml:space="preserve">, Rozporządzenie Komisji (UE) nr 360/2012 z dnia 25 kwietnia 2012 r. w sprawie stosowania art. 107 i 108 Traktatu o funkcjonowaniu Unii Europejskiej do pomocy de </w:t>
      </w:r>
      <w:proofErr w:type="spellStart"/>
      <w:r>
        <w:rPr>
          <w:sz w:val="28"/>
        </w:rPr>
        <w:t>minimis</w:t>
      </w:r>
      <w:proofErr w:type="spellEnd"/>
      <w:r>
        <w:rPr>
          <w:sz w:val="28"/>
        </w:rPr>
        <w:t xml:space="preserve"> przyznawanej przedsiębiorstwom wykonującym usługi świadczone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651/2014 z dnia 17 czerwca 2014 r. uznające niektóre rodzaje pomocy za zgodne z rynkiem wewnętrznym w zastosowaniu art. 107 i 108 Traktatu</w:t>
      </w:r>
    </w:p>
    <w:p w:rsidR="00BE25CB" w:rsidRDefault="004F760C">
      <w:pPr>
        <w:rPr>
          <w:b/>
          <w:sz w:val="28"/>
        </w:rPr>
      </w:pPr>
      <w:r>
        <w:rPr>
          <w:b/>
          <w:sz w:val="28"/>
        </w:rPr>
        <w:t>Pomoc publiczna – krajowa podstawa prawna</w:t>
      </w:r>
    </w:p>
    <w:p w:rsidR="00BE25CB" w:rsidRDefault="004F760C">
      <w:pPr>
        <w:rPr>
          <w:b/>
          <w:sz w:val="28"/>
        </w:rPr>
      </w:pPr>
      <w:r>
        <w:rPr>
          <w:sz w:val="28"/>
        </w:rPr>
        <w:t xml:space="preserve">Rozporządzenie Ministra Funduszy i Polityki Regionalnej z dnia 29 września 2022 r. w sprawie udzielania pomocy de </w:t>
      </w:r>
      <w:proofErr w:type="spellStart"/>
      <w:r>
        <w:rPr>
          <w:sz w:val="28"/>
        </w:rPr>
        <w:t>minimis</w:t>
      </w:r>
      <w:proofErr w:type="spellEnd"/>
      <w:r>
        <w:rPr>
          <w:sz w:val="28"/>
        </w:rPr>
        <w:t xml:space="preserve"> w ramach regionalnych programów na lata 2021–2027 (Dz. U. z 2022 r. poz. 2062), Bez pomocy, Rozporządzenie Ministra Funduszy i Polityki Regionalnej z dnia 11 grudnia 2022 r. w sprawie udzielania pomocy inwestycyjnej na infrastrukturę lokalną w ramach regionalnych programów na lata 2021–2027 (Dz. U. z 2022 r. poz. 2686)</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lastRenderedPageBreak/>
        <w:t>Sposób wyboru projektów</w:t>
      </w:r>
    </w:p>
    <w:p w:rsidR="00BE25CB" w:rsidRDefault="004F760C">
      <w:pPr>
        <w:rPr>
          <w:b/>
          <w:sz w:val="28"/>
        </w:rPr>
      </w:pPr>
      <w:r>
        <w:rPr>
          <w:sz w:val="28"/>
        </w:rPr>
        <w:t>Niekonkurencyjny</w:t>
      </w:r>
    </w:p>
    <w:p w:rsidR="00BE25CB" w:rsidRDefault="004F760C">
      <w:pPr>
        <w:rPr>
          <w:b/>
          <w:sz w:val="28"/>
        </w:rPr>
      </w:pPr>
      <w:r>
        <w:rPr>
          <w:b/>
          <w:sz w:val="28"/>
        </w:rPr>
        <w:t>Realizacja instrumentów terytorialnych</w:t>
      </w:r>
    </w:p>
    <w:p w:rsidR="00BE25CB" w:rsidRDefault="004F760C">
      <w:pPr>
        <w:rPr>
          <w:b/>
          <w:sz w:val="28"/>
        </w:rPr>
      </w:pPr>
      <w:r>
        <w:rPr>
          <w:sz w:val="28"/>
        </w:rPr>
        <w:t>Nie dotyczy</w:t>
      </w:r>
    </w:p>
    <w:p w:rsidR="00BE25CB" w:rsidRDefault="004F760C">
      <w:pPr>
        <w:rPr>
          <w:b/>
          <w:sz w:val="28"/>
        </w:rPr>
      </w:pPr>
      <w:r>
        <w:rPr>
          <w:b/>
          <w:sz w:val="28"/>
        </w:rPr>
        <w:t>Typ beneficjenta – ogólny</w:t>
      </w:r>
    </w:p>
    <w:p w:rsidR="00BE25CB" w:rsidRDefault="004F760C">
      <w:pPr>
        <w:rPr>
          <w:b/>
          <w:sz w:val="28"/>
        </w:rPr>
      </w:pPr>
      <w:r>
        <w:rPr>
          <w:sz w:val="28"/>
        </w:rPr>
        <w:t>Przedsiębiorstwa realizujące cele publiczne, Służby publiczne, Administracja publiczna</w:t>
      </w:r>
    </w:p>
    <w:p w:rsidR="00BE25CB" w:rsidRDefault="004F760C">
      <w:pPr>
        <w:rPr>
          <w:b/>
          <w:sz w:val="28"/>
        </w:rPr>
      </w:pPr>
      <w:r>
        <w:rPr>
          <w:b/>
          <w:sz w:val="28"/>
        </w:rPr>
        <w:t>Typ beneficjenta – szczegółowy</w:t>
      </w:r>
    </w:p>
    <w:p w:rsidR="00BE25CB" w:rsidRDefault="004F760C">
      <w:pPr>
        <w:rPr>
          <w:b/>
          <w:sz w:val="28"/>
        </w:rPr>
      </w:pPr>
      <w:r>
        <w:rPr>
          <w:sz w:val="28"/>
        </w:rPr>
        <w:t>Zarządcy infrastruktury kolejowej, Przedsiębiorstwa kolejowych przewozów pasażerskich, Organizatorzy i operatorzy publicznego transportu zbiorowego, Jednostki organizacyjne działające w imieniu jednostek samorządu terytorialnego, Jednostki Samorządu Terytorialnego</w:t>
      </w:r>
    </w:p>
    <w:p w:rsidR="00BE25CB" w:rsidRDefault="004F760C">
      <w:pPr>
        <w:rPr>
          <w:b/>
          <w:sz w:val="28"/>
        </w:rPr>
      </w:pPr>
      <w:r>
        <w:rPr>
          <w:b/>
          <w:sz w:val="28"/>
        </w:rPr>
        <w:t>Grupa docelowa</w:t>
      </w:r>
    </w:p>
    <w:p w:rsidR="00BE25CB" w:rsidRDefault="004F760C">
      <w:pPr>
        <w:rPr>
          <w:b/>
          <w:sz w:val="28"/>
        </w:rPr>
      </w:pPr>
      <w:r>
        <w:rPr>
          <w:sz w:val="28"/>
        </w:rPr>
        <w:t>użytkownicy indywidualni korzystający z taboru, przedsiębiorcy korzystający z infrastruktury i taboru</w:t>
      </w:r>
    </w:p>
    <w:p w:rsidR="00BE25CB" w:rsidRDefault="004F760C">
      <w:pPr>
        <w:rPr>
          <w:b/>
          <w:sz w:val="28"/>
        </w:rPr>
      </w:pPr>
      <w:r>
        <w:rPr>
          <w:b/>
          <w:sz w:val="28"/>
        </w:rPr>
        <w:t>Słowa kluczowe</w:t>
      </w:r>
    </w:p>
    <w:p w:rsidR="00BE25CB" w:rsidRDefault="004F760C">
      <w:pPr>
        <w:rPr>
          <w:b/>
          <w:sz w:val="28"/>
        </w:rPr>
      </w:pPr>
      <w:r>
        <w:rPr>
          <w:sz w:val="28"/>
        </w:rPr>
        <w:t xml:space="preserve">transport, </w:t>
      </w:r>
      <w:proofErr w:type="spellStart"/>
      <w:r>
        <w:rPr>
          <w:sz w:val="28"/>
        </w:rPr>
        <w:t>czysty_transport</w:t>
      </w:r>
      <w:proofErr w:type="spellEnd"/>
      <w:r>
        <w:rPr>
          <w:sz w:val="28"/>
        </w:rPr>
        <w:t xml:space="preserve">, kolej, </w:t>
      </w:r>
      <w:proofErr w:type="spellStart"/>
      <w:r>
        <w:rPr>
          <w:sz w:val="28"/>
        </w:rPr>
        <w:t>komunikacja_zbiorowa</w:t>
      </w:r>
      <w:proofErr w:type="spellEnd"/>
      <w:r>
        <w:rPr>
          <w:sz w:val="28"/>
        </w:rPr>
        <w:t xml:space="preserve">, </w:t>
      </w:r>
      <w:proofErr w:type="spellStart"/>
      <w:r>
        <w:rPr>
          <w:sz w:val="28"/>
        </w:rPr>
        <w:t>tabor_ekologiczny</w:t>
      </w:r>
      <w:proofErr w:type="spellEnd"/>
      <w:r>
        <w:rPr>
          <w:sz w:val="28"/>
        </w:rPr>
        <w:t>, pociąg</w:t>
      </w:r>
    </w:p>
    <w:p w:rsidR="00BE25CB" w:rsidRDefault="004F760C">
      <w:pPr>
        <w:rPr>
          <w:b/>
          <w:sz w:val="28"/>
        </w:rPr>
      </w:pPr>
      <w:r>
        <w:rPr>
          <w:b/>
          <w:sz w:val="28"/>
        </w:rPr>
        <w:t>Wielkość podmiotu (w przypadku przedsiębiorstw)</w:t>
      </w:r>
    </w:p>
    <w:p w:rsidR="00BE25CB" w:rsidRDefault="004F760C">
      <w:pPr>
        <w:rPr>
          <w:b/>
          <w:sz w:val="28"/>
        </w:rPr>
      </w:pPr>
      <w:r>
        <w:rPr>
          <w:sz w:val="28"/>
        </w:rPr>
        <w:t>Duże</w:t>
      </w:r>
    </w:p>
    <w:p w:rsidR="00BE25CB" w:rsidRDefault="004F760C">
      <w:pPr>
        <w:rPr>
          <w:b/>
          <w:sz w:val="28"/>
        </w:rPr>
      </w:pPr>
      <w:r>
        <w:rPr>
          <w:b/>
          <w:sz w:val="28"/>
        </w:rPr>
        <w:t>Wskaźniki produktu</w:t>
      </w:r>
    </w:p>
    <w:p w:rsidR="00BE25CB" w:rsidRDefault="004F760C">
      <w:pPr>
        <w:rPr>
          <w:b/>
          <w:sz w:val="28"/>
        </w:rPr>
      </w:pPr>
      <w:r>
        <w:rPr>
          <w:sz w:val="28"/>
        </w:rPr>
        <w:t>WLWK-PLRO229 - Budowa/przebudowa bazy utrzymaniowo-naprawczej taboru kolejowego </w:t>
      </w:r>
    </w:p>
    <w:p w:rsidR="00BE25CB" w:rsidRDefault="004F760C">
      <w:pPr>
        <w:rPr>
          <w:b/>
          <w:sz w:val="28"/>
        </w:rPr>
      </w:pPr>
      <w:r>
        <w:rPr>
          <w:sz w:val="28"/>
        </w:rPr>
        <w:t>WLWK-PLRO113 - Liczba zakupionych jednostek kolejowego taboru pasażerskiego</w:t>
      </w:r>
    </w:p>
    <w:p w:rsidR="00BE25CB" w:rsidRDefault="004F760C">
      <w:pPr>
        <w:rPr>
          <w:b/>
          <w:sz w:val="28"/>
        </w:rPr>
      </w:pPr>
      <w:r>
        <w:rPr>
          <w:sz w:val="28"/>
        </w:rPr>
        <w:lastRenderedPageBreak/>
        <w:t>WLWK-RCO057 - Pojemność ekologicznego taboru do zbiorowego transportu publicznego</w:t>
      </w:r>
    </w:p>
    <w:p w:rsidR="00BE25CB" w:rsidRDefault="004F760C">
      <w:pPr>
        <w:rPr>
          <w:b/>
          <w:sz w:val="28"/>
        </w:rPr>
      </w:pPr>
      <w:r>
        <w:rPr>
          <w:b/>
          <w:sz w:val="28"/>
        </w:rPr>
        <w:t>Wskaźniki rezultatu</w:t>
      </w:r>
    </w:p>
    <w:p w:rsidR="00BE25CB" w:rsidRDefault="004F760C">
      <w:pPr>
        <w:rPr>
          <w:b/>
          <w:sz w:val="28"/>
        </w:rPr>
      </w:pPr>
      <w:r>
        <w:rPr>
          <w:sz w:val="28"/>
        </w:rPr>
        <w:t>WLWK-PLRR022 - Liczba osób korzystających z zakupionego lub zmodernizowanego kolejowego taboru pasażerskiego w ciągu roku</w:t>
      </w:r>
    </w:p>
    <w:p w:rsidR="00BE25CB" w:rsidRDefault="00BE25CB">
      <w:pPr>
        <w:rPr>
          <w:b/>
          <w:sz w:val="28"/>
        </w:rPr>
      </w:pPr>
      <w:bookmarkStart w:id="10" w:name="_Toc76643859"/>
    </w:p>
    <w:p w:rsidR="00BE25CB" w:rsidRDefault="004F760C">
      <w:pPr>
        <w:pStyle w:val="Nagwek2"/>
        <w:rPr>
          <w:rFonts w:ascii="Calibri" w:hAnsi="Calibri" w:cs="Calibri"/>
          <w:i w:val="0"/>
          <w:sz w:val="32"/>
        </w:rPr>
      </w:pPr>
      <w:bookmarkStart w:id="11" w:name="_Toc128650876"/>
      <w:r>
        <w:rPr>
          <w:rFonts w:ascii="Calibri" w:hAnsi="Calibri" w:cs="Calibri"/>
          <w:i w:val="0"/>
          <w:sz w:val="32"/>
        </w:rPr>
        <w:t xml:space="preserve">Priorytet FEPM.05 </w:t>
      </w:r>
      <w:bookmarkEnd w:id="10"/>
      <w:r>
        <w:rPr>
          <w:rFonts w:ascii="Calibri" w:hAnsi="Calibri" w:cs="Calibri"/>
          <w:i w:val="0"/>
          <w:sz w:val="32"/>
        </w:rPr>
        <w:t>Fundusze europejskie dla silnego społecznie Pomorza (EFS+)</w:t>
      </w:r>
      <w:bookmarkEnd w:id="11"/>
    </w:p>
    <w:p w:rsidR="00BE25CB" w:rsidRDefault="00BE25CB">
      <w:pPr>
        <w:rPr>
          <w:rFonts w:ascii="Calibri" w:hAnsi="Calibri"/>
          <w:sz w:val="32"/>
        </w:rPr>
      </w:pPr>
    </w:p>
    <w:p w:rsidR="00BE25CB" w:rsidRDefault="004F760C">
      <w:pPr>
        <w:rPr>
          <w:b/>
          <w:sz w:val="28"/>
        </w:rPr>
      </w:pPr>
      <w:r>
        <w:rPr>
          <w:b/>
          <w:sz w:val="28"/>
        </w:rPr>
        <w:t>Instytucja Zarządzająca</w:t>
      </w:r>
    </w:p>
    <w:p w:rsidR="00BE25CB" w:rsidRDefault="004F760C">
      <w:pPr>
        <w:rPr>
          <w:b/>
          <w:sz w:val="28"/>
        </w:rPr>
      </w:pPr>
      <w:r>
        <w:rPr>
          <w:sz w:val="28"/>
        </w:rPr>
        <w:t>Urząd Marszałkowski Województwa Pomorskiego</w:t>
      </w:r>
    </w:p>
    <w:p w:rsidR="00BE25CB" w:rsidRDefault="004F760C">
      <w:pPr>
        <w:rPr>
          <w:b/>
          <w:sz w:val="28"/>
        </w:rPr>
      </w:pPr>
      <w:r>
        <w:rPr>
          <w:b/>
          <w:sz w:val="28"/>
        </w:rPr>
        <w:t>Fundusz</w:t>
      </w:r>
    </w:p>
    <w:p w:rsidR="00BE25CB" w:rsidRDefault="004F760C">
      <w:pPr>
        <w:rPr>
          <w:b/>
          <w:sz w:val="28"/>
        </w:rPr>
      </w:pPr>
      <w:r>
        <w:rPr>
          <w:sz w:val="28"/>
        </w:rPr>
        <w:t>Europejski Fundusz Społeczny +</w:t>
      </w:r>
    </w:p>
    <w:p w:rsidR="00BE25CB" w:rsidRDefault="004F760C">
      <w:pPr>
        <w:rPr>
          <w:b/>
          <w:sz w:val="28"/>
        </w:rPr>
      </w:pPr>
      <w:r>
        <w:rPr>
          <w:b/>
          <w:sz w:val="28"/>
        </w:rPr>
        <w:t>Cel Polityki</w:t>
      </w:r>
    </w:p>
    <w:p w:rsidR="00BE25CB" w:rsidRDefault="004F760C">
      <w:pPr>
        <w:rPr>
          <w:b/>
          <w:sz w:val="28"/>
        </w:rPr>
      </w:pPr>
      <w:r>
        <w:rPr>
          <w:sz w:val="28"/>
        </w:rPr>
        <w:t>CP4 - Europa o silniejszym wymiarze społecznym, bardziej sprzyjająca włączeniu społecznemu i wdrażająca Europejski filar praw socjalnych</w:t>
      </w:r>
    </w:p>
    <w:p w:rsidR="00BE25CB" w:rsidRDefault="004F760C">
      <w:pPr>
        <w:rPr>
          <w:b/>
          <w:sz w:val="28"/>
        </w:rPr>
      </w:pPr>
      <w:r>
        <w:rPr>
          <w:b/>
          <w:sz w:val="28"/>
        </w:rPr>
        <w:t>Miejsce realizacji</w:t>
      </w:r>
    </w:p>
    <w:p w:rsidR="00BE25CB" w:rsidRDefault="004F760C">
      <w:pPr>
        <w:rPr>
          <w:b/>
          <w:sz w:val="28"/>
        </w:rPr>
      </w:pPr>
      <w:r>
        <w:rPr>
          <w:sz w:val="28"/>
        </w:rPr>
        <w:t>POMORSKIE</w:t>
      </w:r>
    </w:p>
    <w:p w:rsidR="00BE25CB" w:rsidRDefault="004F760C">
      <w:pPr>
        <w:rPr>
          <w:b/>
          <w:sz w:val="28"/>
        </w:rPr>
      </w:pPr>
      <w:r>
        <w:rPr>
          <w:b/>
          <w:sz w:val="28"/>
        </w:rPr>
        <w:t>Wysokość alokacji UE (EUR)</w:t>
      </w:r>
    </w:p>
    <w:p w:rsidR="00BE25CB" w:rsidRDefault="004F760C">
      <w:pPr>
        <w:rPr>
          <w:b/>
          <w:sz w:val="28"/>
        </w:rPr>
      </w:pPr>
      <w:r>
        <w:rPr>
          <w:sz w:val="28"/>
        </w:rPr>
        <w:t>477 237 153,00</w:t>
      </w:r>
    </w:p>
    <w:p w:rsidR="00BE25CB" w:rsidRDefault="00BE25CB">
      <w:pPr>
        <w:rPr>
          <w:b/>
          <w:sz w:val="28"/>
        </w:rPr>
      </w:pPr>
    </w:p>
    <w:p w:rsidR="00BE25CB" w:rsidRDefault="004F760C">
      <w:pPr>
        <w:pStyle w:val="Nagwek3"/>
        <w:rPr>
          <w:rFonts w:ascii="Calibri" w:hAnsi="Calibri" w:cs="Calibri"/>
          <w:sz w:val="32"/>
        </w:rPr>
      </w:pPr>
      <w:bookmarkStart w:id="12" w:name="_Toc128650877"/>
      <w:r>
        <w:rPr>
          <w:rFonts w:ascii="Calibri" w:hAnsi="Calibri" w:cs="Calibri"/>
          <w:sz w:val="32"/>
        </w:rPr>
        <w:t>Działanie FEPM.05.01 Rynek pracy</w:t>
      </w:r>
      <w:bookmarkEnd w:id="12"/>
    </w:p>
    <w:p w:rsidR="00BE25CB" w:rsidRDefault="00BE25CB">
      <w:pPr>
        <w:rPr>
          <w:rFonts w:ascii="Calibri" w:hAnsi="Calibri"/>
          <w:sz w:val="32"/>
        </w:rPr>
      </w:pPr>
    </w:p>
    <w:p w:rsidR="00BE25CB" w:rsidRDefault="004F760C">
      <w:pPr>
        <w:rPr>
          <w:b/>
          <w:sz w:val="28"/>
        </w:rPr>
      </w:pPr>
      <w:r>
        <w:rPr>
          <w:b/>
          <w:sz w:val="28"/>
        </w:rPr>
        <w:lastRenderedPageBreak/>
        <w:t>Cel szczegółowy</w:t>
      </w:r>
    </w:p>
    <w:p w:rsidR="00BE25CB" w:rsidRDefault="004F760C">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BE25CB" w:rsidRDefault="004F760C">
      <w:pPr>
        <w:rPr>
          <w:b/>
          <w:sz w:val="28"/>
        </w:rPr>
      </w:pPr>
      <w:r>
        <w:rPr>
          <w:b/>
          <w:sz w:val="28"/>
        </w:rPr>
        <w:t>Wysokość alokacji UE (EUR)</w:t>
      </w:r>
    </w:p>
    <w:p w:rsidR="00BE25CB" w:rsidRDefault="004F760C">
      <w:pPr>
        <w:rPr>
          <w:b/>
          <w:sz w:val="28"/>
        </w:rPr>
      </w:pPr>
      <w:r>
        <w:rPr>
          <w:sz w:val="28"/>
        </w:rPr>
        <w:t>8 000 000,00</w:t>
      </w:r>
    </w:p>
    <w:p w:rsidR="00BE25CB" w:rsidRDefault="004F760C">
      <w:pPr>
        <w:rPr>
          <w:b/>
          <w:sz w:val="28"/>
        </w:rPr>
      </w:pPr>
      <w:r>
        <w:rPr>
          <w:b/>
          <w:sz w:val="28"/>
        </w:rPr>
        <w:t>Zakres interwencji</w:t>
      </w:r>
    </w:p>
    <w:p w:rsidR="00BE25CB" w:rsidRDefault="004F760C">
      <w:pPr>
        <w:rPr>
          <w:b/>
          <w:sz w:val="28"/>
        </w:rPr>
      </w:pPr>
      <w:r>
        <w:rPr>
          <w:sz w:val="28"/>
        </w:rPr>
        <w:t>134 - Działania na rzecz poprawy dostępu do zatrudnienia, 136 - Wsparcie szczególne na rzecz zatrudnienia ludzi młodych i integracji społeczno-gospodarczej ludzi młodych</w:t>
      </w:r>
    </w:p>
    <w:p w:rsidR="00BE25CB" w:rsidRDefault="004F760C">
      <w:pPr>
        <w:rPr>
          <w:b/>
          <w:sz w:val="28"/>
        </w:rPr>
      </w:pPr>
      <w:r>
        <w:rPr>
          <w:b/>
          <w:sz w:val="28"/>
        </w:rPr>
        <w:t>Opis działania</w:t>
      </w:r>
    </w:p>
    <w:p w:rsidR="00BE25CB" w:rsidRDefault="004F760C">
      <w:pPr>
        <w:rPr>
          <w:b/>
          <w:sz w:val="28"/>
        </w:rPr>
      </w:pPr>
      <w:r>
        <w:rPr>
          <w:sz w:val="28"/>
        </w:rPr>
        <w:t xml:space="preserve">Interwencja w ramach Działania odpowiada na wyzwanie, jakim jest poprawa dostępu do zatrudnienia i działań aktywizujących oraz poprawa warunków rozwoju zawodowego pracujących i poszukujących pracy mieszkańców Pomorza. </w:t>
      </w:r>
    </w:p>
    <w:p w:rsidR="00BE25CB" w:rsidRDefault="004F760C">
      <w:pPr>
        <w:rPr>
          <w:b/>
          <w:sz w:val="28"/>
        </w:rPr>
      </w:pPr>
      <w:r>
        <w:rPr>
          <w:sz w:val="28"/>
        </w:rP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p>
    <w:p w:rsidR="00BE25CB" w:rsidRDefault="004F760C">
      <w:pPr>
        <w:rPr>
          <w:b/>
          <w:sz w:val="28"/>
        </w:rPr>
      </w:pPr>
      <w:r>
        <w:rPr>
          <w:sz w:val="28"/>
        </w:rPr>
        <w:t>Typy projektów:</w:t>
      </w:r>
    </w:p>
    <w:p w:rsidR="00BE25CB" w:rsidRDefault="004F760C">
      <w:pPr>
        <w:rPr>
          <w:b/>
          <w:sz w:val="28"/>
        </w:rPr>
      </w:pPr>
      <w:r>
        <w:rPr>
          <w:sz w:val="28"/>
        </w:rP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p>
    <w:p w:rsidR="00BE25CB" w:rsidRDefault="004F760C">
      <w:pPr>
        <w:rPr>
          <w:b/>
          <w:sz w:val="28"/>
        </w:rPr>
      </w:pPr>
      <w:r>
        <w:rPr>
          <w:sz w:val="28"/>
        </w:rPr>
        <w:lastRenderedPageBreak/>
        <w:t>a. usługi służące indywidualizacji wsparcia oraz pomocy w zakresie określenia ścieżki zawodowej (obligatoryjne);</w:t>
      </w:r>
    </w:p>
    <w:p w:rsidR="00BE25CB" w:rsidRDefault="004F760C">
      <w:pPr>
        <w:rPr>
          <w:b/>
          <w:sz w:val="28"/>
        </w:rPr>
      </w:pPr>
      <w:r>
        <w:rPr>
          <w:sz w:val="28"/>
        </w:rPr>
        <w:t>b. usługi służące zdobyciu i/lub potwierdzaniu kwalifikacji, kompetencji i doświadczenia zawodowego – np. szkolenia, staże, praktyki zawodowe;</w:t>
      </w:r>
    </w:p>
    <w:p w:rsidR="00BE25CB" w:rsidRDefault="004F760C">
      <w:pPr>
        <w:rPr>
          <w:b/>
          <w:sz w:val="28"/>
        </w:rPr>
      </w:pPr>
      <w:r>
        <w:rPr>
          <w:sz w:val="28"/>
        </w:rPr>
        <w:t>c. wsparcie stanowiące zachętę do zatrudnienia, np.: wyposażenie/doposażenie stanowiska pracy;</w:t>
      </w:r>
    </w:p>
    <w:p w:rsidR="00BE25CB" w:rsidRDefault="004F760C">
      <w:pPr>
        <w:rPr>
          <w:b/>
          <w:sz w:val="28"/>
        </w:rPr>
      </w:pPr>
      <w:r>
        <w:rPr>
          <w:sz w:val="28"/>
        </w:rPr>
        <w:t>d. podnoszenie mobilności przestrzennej (regionalnej i ponadregionalnej), realizowane wyłącznie jako element kompleksowych projektów aktywizacyjnych, np.: pokrycie kosztów dojazdów, dodatek relokacyjny.</w:t>
      </w:r>
    </w:p>
    <w:p w:rsidR="00BE25CB" w:rsidRDefault="004F760C">
      <w:pPr>
        <w:rPr>
          <w:b/>
          <w:sz w:val="28"/>
        </w:rPr>
      </w:pPr>
      <w:r>
        <w:rPr>
          <w:sz w:val="28"/>
        </w:rPr>
        <w:t>2. Kompleksowe wsparcie na rynku pracy osób młodych (18-29 lat) należących do kategorii NEET w ramach inicjatywy ALMA.</w:t>
      </w:r>
    </w:p>
    <w:p w:rsidR="00BE25CB" w:rsidRDefault="004F760C">
      <w:pPr>
        <w:rPr>
          <w:b/>
          <w:sz w:val="28"/>
        </w:rPr>
      </w:pPr>
      <w:r>
        <w:rPr>
          <w:sz w:val="28"/>
        </w:rPr>
        <w:t>3. Aktywizacja edukacyjno-zawodowa, skierowana do osób młodych pozostających bez pracy znajdujących się w niekorzystnej sytuacji na rynku pracy, realizowana w projektach OHP.</w:t>
      </w:r>
    </w:p>
    <w:p w:rsidR="00BE25CB" w:rsidRDefault="004F760C">
      <w:pPr>
        <w:rPr>
          <w:b/>
          <w:sz w:val="28"/>
        </w:rPr>
      </w:pPr>
      <w:r>
        <w:rPr>
          <w:sz w:val="28"/>
        </w:rPr>
        <w:t>Typy projektów 2 i 3 będą wdrażane przez Instytucję Pośredniczącą, której rolę będzie pełnił Wojewódzki Urząd Pracy w Gdańsku.</w:t>
      </w:r>
    </w:p>
    <w:p w:rsidR="00BE25CB" w:rsidRDefault="004F760C">
      <w:pPr>
        <w:rPr>
          <w:b/>
          <w:sz w:val="28"/>
        </w:rPr>
      </w:pPr>
      <w:r>
        <w:rPr>
          <w:sz w:val="28"/>
        </w:rPr>
        <w:t>Ukierunkowanie terytorialne:</w:t>
      </w:r>
    </w:p>
    <w:p w:rsidR="00BE25CB" w:rsidRDefault="004F760C">
      <w:pPr>
        <w:rPr>
          <w:b/>
          <w:sz w:val="28"/>
        </w:rPr>
      </w:pPr>
      <w:r>
        <w:rPr>
          <w:sz w:val="28"/>
        </w:rPr>
        <w:t>Interwencja będzie prowadzona na terenie całego województwa.</w:t>
      </w:r>
    </w:p>
    <w:p w:rsidR="00BE25CB" w:rsidRDefault="004F760C">
      <w:pPr>
        <w:rPr>
          <w:b/>
          <w:sz w:val="28"/>
        </w:rPr>
      </w:pPr>
      <w:r>
        <w:rPr>
          <w:sz w:val="28"/>
        </w:rPr>
        <w:t>Preferowane zgodnie z Programem będą projekty (wyłącznie w odniesieniu do typu projektu 1.):</w:t>
      </w:r>
    </w:p>
    <w:p w:rsidR="00BE25CB" w:rsidRDefault="004F760C">
      <w:pPr>
        <w:rPr>
          <w:b/>
          <w:sz w:val="28"/>
        </w:rPr>
      </w:pPr>
      <w:r>
        <w:rPr>
          <w:sz w:val="28"/>
        </w:rPr>
        <w:t xml:space="preserve">1. obejmujące kompleksowe działania aktywizujące, dostosowane do indywidualnych potrzeb; </w:t>
      </w:r>
    </w:p>
    <w:p w:rsidR="00BE25CB" w:rsidRDefault="004F760C">
      <w:pPr>
        <w:rPr>
          <w:b/>
          <w:sz w:val="28"/>
        </w:rPr>
      </w:pPr>
      <w:r>
        <w:rPr>
          <w:sz w:val="28"/>
        </w:rPr>
        <w:t>2. partnerskie, realizowane we współpracy instytucji rynku pracy z pracodawcami lub organizacjami pracodawców i/lub organizacjami pozarządowymi i/lub instytucjami edukacyjnymi (w tym szkołami wyższymi) i szkoleniowymi i/lub IOB;</w:t>
      </w:r>
    </w:p>
    <w:p w:rsidR="00BE25CB" w:rsidRDefault="004F760C">
      <w:pPr>
        <w:rPr>
          <w:b/>
          <w:sz w:val="28"/>
        </w:rPr>
      </w:pPr>
      <w:r>
        <w:rPr>
          <w:sz w:val="28"/>
        </w:rPr>
        <w:lastRenderedPageBreak/>
        <w:t xml:space="preserve">3. realizowane przez organizacje pozarządowe działające w obszarze wsparcia osób doświadczających przemocy, w szczególności kobiet, osób LGBT+, rodziców samotnie wychowujących dzieci, osób długotrwale bezrobotnych; </w:t>
      </w:r>
    </w:p>
    <w:p w:rsidR="00BE25CB" w:rsidRDefault="004F760C">
      <w:pPr>
        <w:rPr>
          <w:b/>
          <w:sz w:val="28"/>
        </w:rPr>
      </w:pPr>
      <w:r>
        <w:rPr>
          <w:sz w:val="28"/>
        </w:rP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t>95</w:t>
      </w:r>
    </w:p>
    <w:p w:rsidR="00BE25CB" w:rsidRDefault="004F760C">
      <w:pPr>
        <w:rPr>
          <w:b/>
          <w:sz w:val="28"/>
        </w:rPr>
      </w:pPr>
      <w:r>
        <w:rPr>
          <w:b/>
          <w:sz w:val="28"/>
        </w:rPr>
        <w:t>Pomoc publiczna – unijna podstawa prawna</w:t>
      </w:r>
    </w:p>
    <w:p w:rsidR="00BE25CB" w:rsidRDefault="004F760C">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sprawie stosowania art. 107 i 108 Traktatu o funkcjonowaniu Unii Europejskiej do pomocy de </w:t>
      </w:r>
      <w:proofErr w:type="spellStart"/>
      <w:r>
        <w:rPr>
          <w:sz w:val="28"/>
        </w:rPr>
        <w:t>minimis</w:t>
      </w:r>
      <w:proofErr w:type="spellEnd"/>
    </w:p>
    <w:p w:rsidR="00BE25CB" w:rsidRDefault="004F760C">
      <w:pPr>
        <w:rPr>
          <w:b/>
          <w:sz w:val="28"/>
        </w:rPr>
      </w:pPr>
      <w:r>
        <w:rPr>
          <w:b/>
          <w:sz w:val="28"/>
        </w:rPr>
        <w:t>Pomoc publiczna – krajowa podstawa prawna</w:t>
      </w:r>
    </w:p>
    <w:p w:rsidR="00BE25CB" w:rsidRDefault="004F760C">
      <w:pPr>
        <w:rPr>
          <w:b/>
          <w:sz w:val="28"/>
        </w:rPr>
      </w:pPr>
      <w:r>
        <w:rPr>
          <w:sz w:val="28"/>
        </w:rPr>
        <w:t xml:space="preserve">W przygotowaniu, Bez pomocy, Rozporządzenie Ministra Funduszy i Polityki Regionalnej z dnia 20 grudnia 2022 r. w sprawie udzielania pomocy de </w:t>
      </w:r>
      <w:proofErr w:type="spellStart"/>
      <w:r>
        <w:rPr>
          <w:sz w:val="28"/>
        </w:rPr>
        <w:t>minimis</w:t>
      </w:r>
      <w:proofErr w:type="spellEnd"/>
      <w:r>
        <w:rPr>
          <w:sz w:val="28"/>
        </w:rPr>
        <w:t xml:space="preserve"> oraz pomocy publicznej w ramach programów finansowanych z Europejskiego Funduszu Społecznego Plus (EFS+) na lata 2021–2027 (Dz. U. z 2022 r. poz. 2782)</w:t>
      </w:r>
    </w:p>
    <w:p w:rsidR="00BE25CB" w:rsidRDefault="004F760C">
      <w:pPr>
        <w:rPr>
          <w:b/>
          <w:sz w:val="28"/>
        </w:rPr>
      </w:pPr>
      <w:r>
        <w:rPr>
          <w:b/>
          <w:sz w:val="28"/>
        </w:rPr>
        <w:t>Uproszczone metody rozliczania</w:t>
      </w:r>
    </w:p>
    <w:p w:rsidR="00BE25CB" w:rsidRDefault="004F760C">
      <w:pPr>
        <w:rPr>
          <w:b/>
          <w:sz w:val="28"/>
        </w:rPr>
      </w:pPr>
      <w:r>
        <w:rPr>
          <w:sz w:val="28"/>
        </w:rPr>
        <w:lastRenderedPageBreak/>
        <w:t>uproszczona metoda rozliczania wydatków w oparciu o projekt budżetu [art. 53(3)(b) CPR], do 25% stawka ryczałtowa na koszty pośrednie w oparciu o metodykę IZ (podstawa wyliczenia: koszty bezpośrednie) [art. 54(c) CPR]</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15</w:t>
      </w:r>
    </w:p>
    <w:p w:rsidR="00BE25CB" w:rsidRDefault="004F760C">
      <w:pPr>
        <w:rPr>
          <w:b/>
          <w:sz w:val="28"/>
        </w:rPr>
      </w:pPr>
      <w:r>
        <w:rPr>
          <w:b/>
          <w:sz w:val="28"/>
        </w:rPr>
        <w:t>Minimalny wkład własny beneficjenta</w:t>
      </w:r>
    </w:p>
    <w:p w:rsidR="00BE25CB" w:rsidRDefault="004F760C">
      <w:pPr>
        <w:rPr>
          <w:b/>
          <w:sz w:val="28"/>
        </w:rPr>
      </w:pPr>
      <w:r>
        <w:rPr>
          <w:sz w:val="28"/>
        </w:rPr>
        <w:t>5%</w:t>
      </w:r>
    </w:p>
    <w:p w:rsidR="00BE25CB" w:rsidRDefault="004F760C">
      <w:pPr>
        <w:rPr>
          <w:b/>
          <w:sz w:val="28"/>
        </w:rPr>
      </w:pPr>
      <w:r>
        <w:rPr>
          <w:b/>
          <w:sz w:val="28"/>
        </w:rPr>
        <w:t>Sposób wyboru projektów</w:t>
      </w:r>
    </w:p>
    <w:p w:rsidR="00BE25CB" w:rsidRDefault="004F760C">
      <w:pPr>
        <w:rPr>
          <w:b/>
          <w:sz w:val="28"/>
        </w:rPr>
      </w:pPr>
      <w:r>
        <w:rPr>
          <w:sz w:val="28"/>
        </w:rPr>
        <w:t>Konkurencyjny, Niekonkurencyjny</w:t>
      </w:r>
    </w:p>
    <w:p w:rsidR="00BE25CB" w:rsidRDefault="004F760C">
      <w:pPr>
        <w:rPr>
          <w:b/>
          <w:sz w:val="28"/>
        </w:rPr>
      </w:pPr>
      <w:r>
        <w:rPr>
          <w:b/>
          <w:sz w:val="28"/>
        </w:rPr>
        <w:t>Realizacja instrumentów terytorialnych</w:t>
      </w:r>
    </w:p>
    <w:p w:rsidR="00BE25CB" w:rsidRDefault="004F760C">
      <w:pPr>
        <w:rPr>
          <w:b/>
          <w:sz w:val="28"/>
        </w:rPr>
      </w:pPr>
      <w:r>
        <w:rPr>
          <w:sz w:val="28"/>
        </w:rPr>
        <w:t>Nie dotyczy</w:t>
      </w:r>
    </w:p>
    <w:p w:rsidR="00BE25CB" w:rsidRDefault="004F760C">
      <w:pPr>
        <w:rPr>
          <w:b/>
          <w:sz w:val="28"/>
        </w:rPr>
      </w:pPr>
      <w:r>
        <w:rPr>
          <w:b/>
          <w:sz w:val="28"/>
        </w:rPr>
        <w:t>Typ beneficjenta – ogólny</w:t>
      </w:r>
    </w:p>
    <w:p w:rsidR="00BE25CB" w:rsidRDefault="004F760C">
      <w:pPr>
        <w:rPr>
          <w:b/>
          <w:sz w:val="28"/>
        </w:rPr>
      </w:pPr>
      <w:r>
        <w:rPr>
          <w:sz w:val="28"/>
        </w:rPr>
        <w:t>Przedsiębiorstwa, Partnerzy społeczni, Instytucje wspierające biznes, Instytucje nauki i edukacji, Administracja publiczna, Organizacje społeczne i związki wyznaniowe, Służby publiczne</w:t>
      </w:r>
    </w:p>
    <w:p w:rsidR="00BE25CB" w:rsidRDefault="004F760C">
      <w:pPr>
        <w:rPr>
          <w:b/>
          <w:sz w:val="28"/>
        </w:rPr>
      </w:pPr>
      <w:r>
        <w:rPr>
          <w:b/>
          <w:sz w:val="28"/>
        </w:rPr>
        <w:t>Typ beneficjenta – szczegółowy</w:t>
      </w:r>
    </w:p>
    <w:p w:rsidR="00BE25CB" w:rsidRDefault="004F760C">
      <w:pPr>
        <w:rPr>
          <w:b/>
          <w:sz w:val="28"/>
        </w:rPr>
      </w:pPr>
      <w:r>
        <w:rPr>
          <w:sz w:val="28"/>
        </w:rPr>
        <w:t xml:space="preserve">Związki zawodowe, Instytucje finansowe, Przedszkola i inne formy wychowania przedszkolnego, Wspólnoty, spółdzielnie mieszkaniowe i TBS, Instytucje otoczenia biznesu, MŚP, Jednostki Samorządu Terytorialnego, Szkoły i inne placówki systemu oświaty, Bank Gospodarstwa Krajowego, Administracja rządowa, Duże przedsiębiorstwa, Ośrodki kształcenia dorosłych, Izby gospodarcze, Ośrodki innowacji, Organizacje zrzeszające pracodawców, Partnerzy gospodarczy, Izby Rolnicze, Kluby sportowe, centra sportu, Uczelnie, Inne podmioty systemu szkolnictwa wyższego i nauki, Jednostki naukowe, Organizacje badawcze, Kościoły </w:t>
      </w:r>
      <w:r>
        <w:rPr>
          <w:sz w:val="28"/>
        </w:rPr>
        <w:lastRenderedPageBreak/>
        <w:t>i związki wyznaniowe, Lokalne Grupy Działania, Niepubliczne podmioty integracji i pomocy społecznej, Organizacje pozarządowe, Podmioty ekonomii społecznej, Pozarządowe organizacje turystyczne, Centra aktywności lokalnej, Instytucje integracji i pomocy społecznej, Instytucje kultury, Instytucje odpowiedzialne za gospodarkę wodną, Instytucje rynku pracy, Instytucje sportu, Jednostki doradztwa rolniczego, Jednostki organizacyjne działające w imieniu jednostek samorządu terytorialnego, Jednostki rządowe i samorządowe ochrony środowiska, Niepubliczne instytucje kultury</w:t>
      </w:r>
    </w:p>
    <w:p w:rsidR="00BE25CB" w:rsidRDefault="004F760C">
      <w:pPr>
        <w:rPr>
          <w:b/>
          <w:sz w:val="28"/>
        </w:rPr>
      </w:pPr>
      <w:r>
        <w:rPr>
          <w:b/>
          <w:sz w:val="28"/>
        </w:rPr>
        <w:t>Grupa docelowa</w:t>
      </w:r>
    </w:p>
    <w:p w:rsidR="00BE25CB" w:rsidRDefault="004F760C">
      <w:pPr>
        <w:rPr>
          <w:b/>
          <w:sz w:val="28"/>
        </w:rPr>
      </w:pPr>
      <w:r>
        <w:rPr>
          <w:sz w:val="28"/>
        </w:rPr>
        <w:t xml:space="preserve">osoby bezrobotne i poszukujące pracy, osoby zatrudnione na umowach krótkoterminowych, umowach </w:t>
      </w:r>
      <w:proofErr w:type="spellStart"/>
      <w:r>
        <w:rPr>
          <w:sz w:val="28"/>
        </w:rPr>
        <w:t>cywilno</w:t>
      </w:r>
      <w:proofErr w:type="spellEnd"/>
      <w:r>
        <w:rPr>
          <w:sz w:val="28"/>
        </w:rPr>
        <w:t xml:space="preserve"> – prawnych, ubodzy pracujący, osoby należące do kategorii NEET, osoby sprawujące opiekę nad dziećmi, osobami z niepełnosprawnościami czy osobami potrzebującymi wsparcia w codziennym funkcjonowaniu, osoby w wieku 18-29 lat, osoby pracujące, osoby o niskich kwalifikacjach, osoby z niepełnosprawnościami, osoby długotrwale bezrobotne, bezrobotni, osoby w wieku 15-25 lat, kobiety, osoby w wieku 55 lat i więcej</w:t>
      </w:r>
    </w:p>
    <w:p w:rsidR="00BE25CB" w:rsidRDefault="004F760C">
      <w:pPr>
        <w:rPr>
          <w:b/>
          <w:sz w:val="28"/>
        </w:rPr>
      </w:pPr>
      <w:r>
        <w:rPr>
          <w:b/>
          <w:sz w:val="28"/>
        </w:rPr>
        <w:t>Słowa kluczowe</w:t>
      </w:r>
    </w:p>
    <w:p w:rsidR="00BE25CB" w:rsidRDefault="004F760C">
      <w:pPr>
        <w:rPr>
          <w:b/>
          <w:sz w:val="28"/>
        </w:rPr>
      </w:pPr>
      <w:proofErr w:type="spellStart"/>
      <w:r>
        <w:rPr>
          <w:sz w:val="28"/>
        </w:rPr>
        <w:t>wsparcie_dla_młodych</w:t>
      </w:r>
      <w:proofErr w:type="spellEnd"/>
      <w:r>
        <w:rPr>
          <w:sz w:val="28"/>
        </w:rPr>
        <w:t xml:space="preserve">, </w:t>
      </w:r>
      <w:proofErr w:type="spellStart"/>
      <w:r>
        <w:rPr>
          <w:sz w:val="28"/>
        </w:rPr>
        <w:t>rozwój_zawodowy</w:t>
      </w:r>
      <w:proofErr w:type="spellEnd"/>
      <w:r>
        <w:rPr>
          <w:sz w:val="28"/>
        </w:rPr>
        <w:t xml:space="preserve">, kwalifikacje, </w:t>
      </w:r>
      <w:proofErr w:type="spellStart"/>
      <w:r>
        <w:rPr>
          <w:sz w:val="28"/>
        </w:rPr>
        <w:t>aktywizacja_kobiet</w:t>
      </w:r>
      <w:proofErr w:type="spellEnd"/>
      <w:r>
        <w:rPr>
          <w:sz w:val="28"/>
        </w:rPr>
        <w:t xml:space="preserve">, staże, </w:t>
      </w:r>
      <w:proofErr w:type="spellStart"/>
      <w:r>
        <w:rPr>
          <w:sz w:val="28"/>
        </w:rPr>
        <w:t>osoby_z_niepełnosprawnościami</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aktywizacja_zawodowa</w:t>
      </w:r>
      <w:proofErr w:type="spellEnd"/>
      <w:r>
        <w:rPr>
          <w:sz w:val="28"/>
        </w:rPr>
        <w:t xml:space="preserve">, </w:t>
      </w:r>
      <w:proofErr w:type="spellStart"/>
      <w:r>
        <w:rPr>
          <w:sz w:val="28"/>
        </w:rPr>
        <w:t>doradztwo_zawodowe</w:t>
      </w:r>
      <w:proofErr w:type="spellEnd"/>
      <w:r>
        <w:rPr>
          <w:sz w:val="28"/>
        </w:rPr>
        <w:t xml:space="preserve">, </w:t>
      </w:r>
      <w:proofErr w:type="spellStart"/>
      <w:r>
        <w:rPr>
          <w:sz w:val="28"/>
        </w:rPr>
        <w:t>kompetencje_zawodowe</w:t>
      </w:r>
      <w:proofErr w:type="spellEnd"/>
    </w:p>
    <w:p w:rsidR="00BE25CB" w:rsidRDefault="004F760C">
      <w:pPr>
        <w:rPr>
          <w:b/>
          <w:sz w:val="28"/>
        </w:rPr>
      </w:pPr>
      <w:r>
        <w:rPr>
          <w:b/>
          <w:sz w:val="28"/>
        </w:rPr>
        <w:t>Wielkość podmiotu (w przypadku przedsiębiorstw)</w:t>
      </w:r>
    </w:p>
    <w:p w:rsidR="00BE25CB" w:rsidRDefault="004F760C">
      <w:pPr>
        <w:rPr>
          <w:b/>
          <w:sz w:val="28"/>
        </w:rPr>
      </w:pPr>
      <w:r>
        <w:rPr>
          <w:sz w:val="28"/>
        </w:rPr>
        <w:t xml:space="preserve">Small </w:t>
      </w:r>
      <w:proofErr w:type="spellStart"/>
      <w:r>
        <w:rPr>
          <w:sz w:val="28"/>
        </w:rPr>
        <w:t>mid</w:t>
      </w:r>
      <w:proofErr w:type="spellEnd"/>
      <w:r>
        <w:rPr>
          <w:sz w:val="28"/>
        </w:rPr>
        <w:t xml:space="preserve"> </w:t>
      </w:r>
      <w:proofErr w:type="spellStart"/>
      <w:r>
        <w:rPr>
          <w:sz w:val="28"/>
        </w:rPr>
        <w:t>caps</w:t>
      </w:r>
      <w:proofErr w:type="spellEnd"/>
      <w:r>
        <w:rPr>
          <w:sz w:val="28"/>
        </w:rPr>
        <w:t xml:space="preserve">, Średnie, Mikro, Duże, Małe, </w:t>
      </w:r>
      <w:proofErr w:type="spellStart"/>
      <w:r>
        <w:rPr>
          <w:sz w:val="28"/>
        </w:rPr>
        <w:t>Mid</w:t>
      </w:r>
      <w:proofErr w:type="spellEnd"/>
      <w:r>
        <w:rPr>
          <w:sz w:val="28"/>
        </w:rPr>
        <w:t xml:space="preserve"> </w:t>
      </w:r>
      <w:proofErr w:type="spellStart"/>
      <w:r>
        <w:rPr>
          <w:sz w:val="28"/>
        </w:rPr>
        <w:t>caps</w:t>
      </w:r>
      <w:proofErr w:type="spellEnd"/>
    </w:p>
    <w:p w:rsidR="00BE25CB" w:rsidRDefault="004F760C">
      <w:pPr>
        <w:rPr>
          <w:b/>
          <w:sz w:val="28"/>
        </w:rPr>
      </w:pPr>
      <w:r>
        <w:rPr>
          <w:b/>
          <w:sz w:val="28"/>
        </w:rPr>
        <w:t>Wskaźniki produktu</w:t>
      </w:r>
    </w:p>
    <w:p w:rsidR="00BE25CB" w:rsidRDefault="004F760C">
      <w:pPr>
        <w:rPr>
          <w:b/>
          <w:sz w:val="28"/>
        </w:rPr>
      </w:pPr>
      <w:r>
        <w:rPr>
          <w:sz w:val="28"/>
        </w:rPr>
        <w:t>WLWK-PL0CO02 - Liczba obiektów dostosowanych do potrzeb osób z niepełnosprawnościami</w:t>
      </w:r>
    </w:p>
    <w:p w:rsidR="00BE25CB" w:rsidRDefault="004F760C">
      <w:pPr>
        <w:rPr>
          <w:b/>
          <w:sz w:val="28"/>
        </w:rPr>
      </w:pPr>
      <w:r>
        <w:rPr>
          <w:sz w:val="28"/>
        </w:rPr>
        <w:t>WLWK-EECO02 - Liczba osób bezrobotnych, w tym długotrwale bezrobotnych, objętych wsparciem w programie</w:t>
      </w:r>
    </w:p>
    <w:p w:rsidR="00BE25CB" w:rsidRDefault="004F760C">
      <w:pPr>
        <w:rPr>
          <w:b/>
          <w:sz w:val="28"/>
        </w:rPr>
      </w:pPr>
      <w:r>
        <w:rPr>
          <w:sz w:val="28"/>
        </w:rPr>
        <w:lastRenderedPageBreak/>
        <w:t>WLWK-EECO04 - Liczba osób biernych zawodowo objętych wsparciem w programie</w:t>
      </w:r>
    </w:p>
    <w:p w:rsidR="00BE25CB" w:rsidRDefault="004F760C">
      <w:pPr>
        <w:rPr>
          <w:b/>
          <w:sz w:val="28"/>
        </w:rPr>
      </w:pPr>
      <w:r>
        <w:rPr>
          <w:sz w:val="28"/>
        </w:rPr>
        <w:t>WLWK-EECO03 - Liczba osób długotrwale bezrobotnych objętych wsparciem w programie</w:t>
      </w:r>
    </w:p>
    <w:p w:rsidR="00BE25CB" w:rsidRDefault="004F760C">
      <w:pPr>
        <w:rPr>
          <w:b/>
          <w:sz w:val="28"/>
        </w:rPr>
      </w:pPr>
      <w:r>
        <w:rPr>
          <w:sz w:val="28"/>
        </w:rPr>
        <w:t>WLWK-EECO15 - Liczba osób należących do mniejszości, w tym społeczności marginalizowanych takich jak Romowie, objętych wsparciem w programie</w:t>
      </w:r>
    </w:p>
    <w:p w:rsidR="00BE25CB" w:rsidRDefault="004F760C">
      <w:pPr>
        <w:rPr>
          <w:b/>
          <w:sz w:val="28"/>
        </w:rPr>
      </w:pPr>
      <w:r>
        <w:rPr>
          <w:sz w:val="28"/>
        </w:rPr>
        <w:t>WLWK-EECO14 - Liczba osób obcego pochodzenia objętych wsparciem w programie</w:t>
      </w:r>
    </w:p>
    <w:p w:rsidR="00BE25CB" w:rsidRDefault="004F760C">
      <w:pPr>
        <w:rPr>
          <w:b/>
          <w:sz w:val="28"/>
        </w:rPr>
      </w:pPr>
      <w:r>
        <w:rPr>
          <w:sz w:val="28"/>
        </w:rPr>
        <w:t>WLWK-EECO05 - Liczba osób pracujących, łącznie z prowadzącymi działalność na własny rachunek, objętych wsparciem w programie</w:t>
      </w:r>
    </w:p>
    <w:p w:rsidR="00BE25CB" w:rsidRDefault="004F760C">
      <w:pPr>
        <w:rPr>
          <w:b/>
          <w:sz w:val="28"/>
        </w:rPr>
      </w:pPr>
      <w:r>
        <w:rPr>
          <w:sz w:val="28"/>
        </w:rPr>
        <w:t>WLWK-EECO16 - Liczba osób w kryzysie bezdomności lub dotkniętych wykluczeniem z dostępu do mieszkań, objętych wsparciem w programie</w:t>
      </w:r>
    </w:p>
    <w:p w:rsidR="00BE25CB" w:rsidRDefault="004F760C">
      <w:pPr>
        <w:rPr>
          <w:b/>
          <w:sz w:val="28"/>
        </w:rPr>
      </w:pPr>
      <w:r>
        <w:rPr>
          <w:sz w:val="28"/>
        </w:rPr>
        <w:t>WLWK-EECO07 - Liczba osób w wieku 18-29 lat objętych wsparciem w programie</w:t>
      </w:r>
    </w:p>
    <w:p w:rsidR="00BE25CB" w:rsidRDefault="004F760C">
      <w:pPr>
        <w:rPr>
          <w:b/>
          <w:sz w:val="28"/>
        </w:rPr>
      </w:pPr>
      <w:r>
        <w:rPr>
          <w:sz w:val="28"/>
        </w:rPr>
        <w:t>WLWK-EECO08 - Liczba osób w wieku 55 lat i więcej  objętych wsparciem w programie</w:t>
      </w:r>
    </w:p>
    <w:p w:rsidR="00BE25CB" w:rsidRDefault="004F760C">
      <w:pPr>
        <w:rPr>
          <w:b/>
          <w:sz w:val="28"/>
        </w:rPr>
      </w:pPr>
      <w:r>
        <w:rPr>
          <w:sz w:val="28"/>
        </w:rPr>
        <w:t>WLWK-EECO06 - Liczba osób w wieku poniżej 18 lat objętych wsparciem w programie</w:t>
      </w:r>
    </w:p>
    <w:p w:rsidR="00BE25CB" w:rsidRDefault="004F760C">
      <w:pPr>
        <w:rPr>
          <w:b/>
          <w:sz w:val="28"/>
        </w:rPr>
      </w:pPr>
      <w:r>
        <w:rPr>
          <w:sz w:val="28"/>
        </w:rPr>
        <w:t>WLWK-EECO13 - Liczba osób z krajów trzecich objętych wsparciem w programie</w:t>
      </w:r>
    </w:p>
    <w:p w:rsidR="00BE25CB" w:rsidRDefault="004F760C">
      <w:pPr>
        <w:rPr>
          <w:b/>
          <w:sz w:val="28"/>
        </w:rPr>
      </w:pPr>
      <w:r>
        <w:rPr>
          <w:sz w:val="28"/>
        </w:rPr>
        <w:t>WLWK-EECO12 - Liczba osób z niepełnosprawnościami objętych wsparciem w programie</w:t>
      </w:r>
    </w:p>
    <w:p w:rsidR="00BE25CB" w:rsidRDefault="004F760C">
      <w:pPr>
        <w:rPr>
          <w:b/>
          <w:sz w:val="28"/>
        </w:rPr>
      </w:pPr>
      <w:r>
        <w:rPr>
          <w:sz w:val="28"/>
        </w:rPr>
        <w:t>WLWK-PL0CO01 - Liczba projektów, w których sfinansowano koszty racjonalnych usprawnień dla osób z niepełnosprawnościami</w:t>
      </w:r>
    </w:p>
    <w:p w:rsidR="00BE25CB" w:rsidRDefault="004F760C">
      <w:pPr>
        <w:rPr>
          <w:b/>
          <w:sz w:val="28"/>
        </w:rPr>
      </w:pPr>
      <w:r>
        <w:rPr>
          <w:sz w:val="28"/>
        </w:rPr>
        <w:t>PROG-FEPM-EFS-002 - Wartość wydatków kwalifikowalnych przeznaczonych na realizację gwarancji dla młodzieży</w:t>
      </w:r>
    </w:p>
    <w:p w:rsidR="00BE25CB" w:rsidRDefault="004F760C">
      <w:pPr>
        <w:rPr>
          <w:b/>
          <w:sz w:val="28"/>
        </w:rPr>
      </w:pPr>
      <w:r>
        <w:rPr>
          <w:b/>
          <w:sz w:val="28"/>
        </w:rPr>
        <w:t>Wskaźniki rezultatu</w:t>
      </w:r>
    </w:p>
    <w:p w:rsidR="00BE25CB" w:rsidRDefault="004F760C">
      <w:pPr>
        <w:rPr>
          <w:b/>
          <w:sz w:val="28"/>
        </w:rPr>
      </w:pPr>
      <w:r>
        <w:rPr>
          <w:sz w:val="28"/>
        </w:rPr>
        <w:lastRenderedPageBreak/>
        <w:t>WLWK-EECR02 - Liczba osób, które podjęły kształcenie lub szkolenie po opuszczeniu programu</w:t>
      </w:r>
    </w:p>
    <w:p w:rsidR="00BE25CB" w:rsidRDefault="004F760C">
      <w:pPr>
        <w:rPr>
          <w:b/>
          <w:sz w:val="28"/>
        </w:rPr>
      </w:pPr>
      <w:r>
        <w:rPr>
          <w:sz w:val="28"/>
        </w:rPr>
        <w:t>WLWK-EECR03 - Liczba osób, które uzyskały kwalifikacje po opuszczeniu programu</w:t>
      </w:r>
    </w:p>
    <w:p w:rsidR="00BE25CB" w:rsidRDefault="004F760C">
      <w:pPr>
        <w:rPr>
          <w:b/>
          <w:sz w:val="28"/>
        </w:rPr>
      </w:pPr>
      <w:r>
        <w:rPr>
          <w:sz w:val="28"/>
        </w:rPr>
        <w:t>WLWK-EECR04 - Liczba osób pracujących, łącznie z prowadzącymi działalność na własny rachunek, po opuszczeniu programu</w:t>
      </w:r>
    </w:p>
    <w:p w:rsidR="00BE25CB" w:rsidRDefault="00BE25CB">
      <w:pPr>
        <w:rPr>
          <w:b/>
          <w:sz w:val="28"/>
        </w:rPr>
      </w:pPr>
    </w:p>
    <w:p w:rsidR="00BE25CB" w:rsidRDefault="004F760C">
      <w:pPr>
        <w:pStyle w:val="Nagwek3"/>
        <w:rPr>
          <w:rFonts w:ascii="Calibri" w:hAnsi="Calibri" w:cs="Calibri"/>
          <w:sz w:val="32"/>
        </w:rPr>
      </w:pPr>
      <w:bookmarkStart w:id="13" w:name="_Toc128650878"/>
      <w:r>
        <w:rPr>
          <w:rFonts w:ascii="Calibri" w:hAnsi="Calibri" w:cs="Calibri"/>
          <w:sz w:val="32"/>
        </w:rPr>
        <w:t>Działanie FEPM.05.02 Rynek pracy – projekty powiatowych urzędów pracy</w:t>
      </w:r>
      <w:bookmarkEnd w:id="13"/>
    </w:p>
    <w:p w:rsidR="00BE25CB" w:rsidRDefault="00BE25CB">
      <w:pPr>
        <w:rPr>
          <w:rFonts w:ascii="Calibri" w:hAnsi="Calibri"/>
          <w:sz w:val="32"/>
        </w:rPr>
      </w:pPr>
    </w:p>
    <w:p w:rsidR="00BE25CB" w:rsidRDefault="004F760C">
      <w:pPr>
        <w:rPr>
          <w:b/>
          <w:sz w:val="28"/>
        </w:rPr>
      </w:pPr>
      <w:r>
        <w:rPr>
          <w:b/>
          <w:sz w:val="28"/>
        </w:rPr>
        <w:t>Cel szczegółowy</w:t>
      </w:r>
    </w:p>
    <w:p w:rsidR="00BE25CB" w:rsidRDefault="004F760C">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BE25CB" w:rsidRDefault="004F760C">
      <w:pPr>
        <w:rPr>
          <w:b/>
          <w:sz w:val="28"/>
        </w:rPr>
      </w:pPr>
      <w:r>
        <w:rPr>
          <w:b/>
          <w:sz w:val="28"/>
        </w:rPr>
        <w:t>Wysokość alokacji UE (EUR)</w:t>
      </w:r>
    </w:p>
    <w:p w:rsidR="00BE25CB" w:rsidRDefault="004F760C">
      <w:pPr>
        <w:rPr>
          <w:b/>
          <w:sz w:val="28"/>
        </w:rPr>
      </w:pPr>
      <w:r>
        <w:rPr>
          <w:sz w:val="28"/>
        </w:rPr>
        <w:t>60 481 438,00</w:t>
      </w:r>
    </w:p>
    <w:p w:rsidR="00BE25CB" w:rsidRDefault="004F760C">
      <w:pPr>
        <w:rPr>
          <w:b/>
          <w:sz w:val="28"/>
        </w:rPr>
      </w:pPr>
      <w:r>
        <w:rPr>
          <w:b/>
          <w:sz w:val="28"/>
        </w:rPr>
        <w:t>Zakres interwencji</w:t>
      </w:r>
    </w:p>
    <w:p w:rsidR="00BE25CB" w:rsidRDefault="004F760C">
      <w:pPr>
        <w:rPr>
          <w:b/>
          <w:sz w:val="28"/>
        </w:rPr>
      </w:pPr>
      <w:r>
        <w:rPr>
          <w:sz w:val="28"/>
        </w:rPr>
        <w:t>134 - Działania na rzecz poprawy dostępu do zatrudnienia, 136 - Wsparcie szczególne na rzecz zatrudnienia ludzi młodych i integracji społeczno-gospodarczej ludzi młodych</w:t>
      </w:r>
    </w:p>
    <w:p w:rsidR="00BE25CB" w:rsidRDefault="004F760C">
      <w:pPr>
        <w:rPr>
          <w:b/>
          <w:sz w:val="28"/>
        </w:rPr>
      </w:pPr>
      <w:r>
        <w:rPr>
          <w:b/>
          <w:sz w:val="28"/>
        </w:rPr>
        <w:t>Opis działania</w:t>
      </w:r>
    </w:p>
    <w:p w:rsidR="00BE25CB" w:rsidRDefault="004F760C">
      <w:pPr>
        <w:rPr>
          <w:b/>
          <w:sz w:val="28"/>
        </w:rPr>
      </w:pPr>
      <w:r>
        <w:rPr>
          <w:sz w:val="28"/>
        </w:rPr>
        <w:t xml:space="preserve">Interwencja w ramach Działania odpowiada na wyzwanie, jakim jest poprawa dostępu do zatrudnienia i działań aktywizujących oraz poprawa warunków rozwoju zawodowego poszukujących pracy mieszkańców Pomorza, w tym osób ze </w:t>
      </w:r>
      <w:r>
        <w:rPr>
          <w:sz w:val="28"/>
        </w:rPr>
        <w:lastRenderedPageBreak/>
        <w:t>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p>
    <w:p w:rsidR="00BE25CB" w:rsidRDefault="004F760C">
      <w:pPr>
        <w:rPr>
          <w:b/>
          <w:sz w:val="28"/>
        </w:rPr>
      </w:pPr>
      <w:r>
        <w:rPr>
          <w:sz w:val="28"/>
        </w:rPr>
        <w:t>Typy projektów:</w:t>
      </w:r>
    </w:p>
    <w:p w:rsidR="00BE25CB" w:rsidRDefault="004F760C">
      <w:pPr>
        <w:rPr>
          <w:b/>
          <w:sz w:val="28"/>
        </w:rPr>
      </w:pPr>
      <w:r>
        <w:rPr>
          <w:sz w:val="28"/>
        </w:rP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p>
    <w:p w:rsidR="00BE25CB" w:rsidRDefault="004F760C">
      <w:pPr>
        <w:rPr>
          <w:b/>
          <w:sz w:val="28"/>
        </w:rPr>
      </w:pPr>
      <w:r>
        <w:rPr>
          <w:sz w:val="28"/>
        </w:rPr>
        <w:t>Działanie będzie wdrażane przez Instytucję Pośredniczącą, której rolę będzie pełnił Wojewódzki Urząd Pracy w Gdańsku.</w:t>
      </w:r>
    </w:p>
    <w:p w:rsidR="00BE25CB" w:rsidRDefault="004F760C">
      <w:pPr>
        <w:rPr>
          <w:b/>
          <w:sz w:val="28"/>
        </w:rPr>
      </w:pPr>
      <w:r>
        <w:rPr>
          <w:sz w:val="28"/>
        </w:rPr>
        <w:t>Najważniejsze warunki realizacji projektów:</w:t>
      </w:r>
    </w:p>
    <w:p w:rsidR="00BE25CB" w:rsidRDefault="004F760C">
      <w:pPr>
        <w:rPr>
          <w:b/>
          <w:sz w:val="28"/>
        </w:rPr>
      </w:pPr>
      <w:r>
        <w:rPr>
          <w:sz w:val="28"/>
        </w:rPr>
        <w:t>Wsparcie w zakresie subsydiowanego zatrudnienia skierowane będzie wyłącznie do osób z utrudnionym dostępem do rynku pracy.</w:t>
      </w:r>
    </w:p>
    <w:p w:rsidR="00BE25CB" w:rsidRDefault="004F760C">
      <w:pPr>
        <w:rPr>
          <w:b/>
          <w:sz w:val="28"/>
        </w:rPr>
      </w:pPr>
      <w:r>
        <w:rPr>
          <w:sz w:val="28"/>
        </w:rPr>
        <w:t>Ukierunkowanie terytorialne:</w:t>
      </w:r>
    </w:p>
    <w:p w:rsidR="00BE25CB" w:rsidRDefault="004F760C">
      <w:pPr>
        <w:rPr>
          <w:b/>
          <w:sz w:val="28"/>
        </w:rPr>
      </w:pPr>
      <w:r>
        <w:rPr>
          <w:sz w:val="28"/>
        </w:rPr>
        <w:t>Interwencja będzie prowadzona na terenie całego województwa.</w:t>
      </w:r>
    </w:p>
    <w:p w:rsidR="00BE25CB" w:rsidRDefault="004F760C">
      <w:pPr>
        <w:rPr>
          <w:b/>
          <w:sz w:val="28"/>
        </w:rPr>
      </w:pPr>
      <w:r>
        <w:rPr>
          <w:b/>
          <w:sz w:val="28"/>
        </w:rPr>
        <w:t>Maksymalny % poziom dofinansowania UE w projekcie</w:t>
      </w:r>
    </w:p>
    <w:p w:rsidR="00BE25CB" w:rsidRDefault="004F760C">
      <w:pPr>
        <w:rPr>
          <w:b/>
          <w:sz w:val="28"/>
        </w:rPr>
      </w:pPr>
      <w:r>
        <w:rPr>
          <w:sz w:val="28"/>
        </w:rPr>
        <w:t>85</w:t>
      </w:r>
    </w:p>
    <w:p w:rsidR="00BE25CB" w:rsidRDefault="004F760C">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rsidR="00BE25CB" w:rsidRDefault="004F760C">
      <w:pPr>
        <w:rPr>
          <w:b/>
          <w:sz w:val="28"/>
        </w:rPr>
      </w:pPr>
      <w:r>
        <w:rPr>
          <w:sz w:val="28"/>
        </w:rPr>
        <w:lastRenderedPageBreak/>
        <w:t>100</w:t>
      </w:r>
    </w:p>
    <w:p w:rsidR="00BE25CB" w:rsidRDefault="004F760C">
      <w:pPr>
        <w:rPr>
          <w:b/>
          <w:sz w:val="28"/>
        </w:rPr>
      </w:pPr>
      <w:r>
        <w:rPr>
          <w:b/>
          <w:sz w:val="28"/>
        </w:rPr>
        <w:t>Pomoc publiczna – unijna podstawa prawna</w:t>
      </w:r>
    </w:p>
    <w:p w:rsidR="00BE25CB" w:rsidRDefault="004F760C">
      <w:pPr>
        <w:rPr>
          <w:b/>
          <w:sz w:val="28"/>
        </w:rPr>
      </w:pPr>
      <w:r>
        <w:rPr>
          <w:sz w:val="28"/>
        </w:rPr>
        <w:t xml:space="preserve">Rozporządzenie  Komisji (UE) nr 1407/2013 z dnia 18 grudnia 2013 r. w sprawie stosowania art. 107 i 108 Traktatu o funkcjonowaniu Unii Europejskiej do pomocy de </w:t>
      </w:r>
      <w:proofErr w:type="spellStart"/>
      <w:r>
        <w:rPr>
          <w:sz w:val="28"/>
        </w:rPr>
        <w:t>minimis</w:t>
      </w:r>
      <w:proofErr w:type="spellEnd"/>
      <w:r>
        <w:rPr>
          <w:sz w:val="28"/>
        </w:rPr>
        <w:t>, Rozporządzenie Komisji (UE) nr 651/2014 z dnia 17 czerwca 2014 r. uznające niektóre rodzaje pomocy za zgodne z rynkiem wewnętrznym w zastosowaniu art. 107 i 108 Traktatu</w:t>
      </w:r>
    </w:p>
    <w:p w:rsidR="00BE25CB" w:rsidRDefault="004F760C">
      <w:pPr>
        <w:rPr>
          <w:b/>
          <w:sz w:val="28"/>
        </w:rPr>
      </w:pPr>
      <w:r>
        <w:rPr>
          <w:b/>
          <w:sz w:val="28"/>
        </w:rPr>
        <w:t>Pomoc publiczna – krajowa podstawa prawna</w:t>
      </w:r>
    </w:p>
    <w:p w:rsidR="00BE25CB" w:rsidRDefault="004F760C">
      <w:pPr>
        <w:rPr>
          <w:b/>
          <w:sz w:val="28"/>
        </w:rPr>
      </w:pPr>
      <w:r>
        <w:rPr>
          <w:sz w:val="28"/>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BE25CB" w:rsidRDefault="004F760C">
      <w:pPr>
        <w:rPr>
          <w:b/>
          <w:sz w:val="28"/>
        </w:rPr>
      </w:pPr>
      <w:r>
        <w:rPr>
          <w:b/>
          <w:sz w:val="28"/>
        </w:rPr>
        <w:t>Uproszczone metody rozliczania</w:t>
      </w:r>
    </w:p>
    <w:p w:rsidR="00BE25CB" w:rsidRDefault="004F760C">
      <w:pPr>
        <w:rPr>
          <w:b/>
          <w:sz w:val="28"/>
        </w:rPr>
      </w:pPr>
      <w:r>
        <w:rPr>
          <w:sz w:val="28"/>
        </w:rPr>
        <w:t>Brak</w:t>
      </w:r>
    </w:p>
    <w:p w:rsidR="00BE25CB" w:rsidRDefault="004F760C">
      <w:pPr>
        <w:rPr>
          <w:b/>
          <w:sz w:val="28"/>
        </w:rPr>
      </w:pPr>
      <w:r>
        <w:rPr>
          <w:b/>
          <w:sz w:val="28"/>
        </w:rPr>
        <w:t>Forma wsparcia</w:t>
      </w:r>
    </w:p>
    <w:p w:rsidR="00BE25CB" w:rsidRDefault="004F760C">
      <w:pPr>
        <w:rPr>
          <w:b/>
          <w:sz w:val="28"/>
        </w:rPr>
      </w:pPr>
      <w:r>
        <w:rPr>
          <w:sz w:val="28"/>
        </w:rPr>
        <w:t>Dotacja</w:t>
      </w:r>
    </w:p>
    <w:p w:rsidR="00BE25CB" w:rsidRDefault="004F760C">
      <w:pPr>
        <w:rPr>
          <w:b/>
          <w:sz w:val="28"/>
        </w:rPr>
      </w:pPr>
      <w:r>
        <w:rPr>
          <w:b/>
          <w:sz w:val="28"/>
        </w:rPr>
        <w:t>Dopuszczalny cross-</w:t>
      </w:r>
      <w:proofErr w:type="spellStart"/>
      <w:r>
        <w:rPr>
          <w:b/>
          <w:sz w:val="28"/>
        </w:rPr>
        <w:t>financing</w:t>
      </w:r>
      <w:proofErr w:type="spellEnd"/>
      <w:r>
        <w:rPr>
          <w:b/>
          <w:sz w:val="28"/>
        </w:rPr>
        <w:t xml:space="preserve"> (%)</w:t>
      </w:r>
    </w:p>
    <w:p w:rsidR="00BE25CB" w:rsidRDefault="004F760C">
      <w:pPr>
        <w:rPr>
          <w:b/>
          <w:sz w:val="28"/>
        </w:rPr>
      </w:pPr>
      <w:r>
        <w:rPr>
          <w:sz w:val="28"/>
        </w:rPr>
        <w:t>0</w:t>
      </w:r>
    </w:p>
    <w:p w:rsidR="00BE25CB" w:rsidRDefault="004F760C">
      <w:pPr>
        <w:rPr>
          <w:b/>
          <w:sz w:val="28"/>
        </w:rPr>
      </w:pPr>
      <w:r>
        <w:rPr>
          <w:b/>
          <w:sz w:val="28"/>
        </w:rPr>
        <w:t>Sposób wyboru projektów</w:t>
      </w:r>
    </w:p>
    <w:p w:rsidR="00BE25CB" w:rsidRDefault="004F760C">
      <w:pPr>
        <w:rPr>
          <w:b/>
          <w:sz w:val="28"/>
        </w:rPr>
      </w:pPr>
      <w:r>
        <w:rPr>
          <w:sz w:val="28"/>
        </w:rPr>
        <w:t>Niekonkurencyjny</w:t>
      </w:r>
    </w:p>
    <w:p w:rsidR="00BE25CB" w:rsidRDefault="004F760C">
      <w:pPr>
        <w:rPr>
          <w:b/>
          <w:sz w:val="28"/>
        </w:rPr>
      </w:pPr>
      <w:r>
        <w:rPr>
          <w:b/>
          <w:sz w:val="28"/>
        </w:rPr>
        <w:t>Realizacja instrumentów terytorialnych</w:t>
      </w:r>
    </w:p>
    <w:p w:rsidR="00BE25CB" w:rsidRDefault="004F760C">
      <w:pPr>
        <w:rPr>
          <w:b/>
          <w:sz w:val="28"/>
        </w:rPr>
      </w:pPr>
      <w:r>
        <w:rPr>
          <w:sz w:val="28"/>
        </w:rPr>
        <w:t>Nie dotyczy</w:t>
      </w:r>
    </w:p>
    <w:p w:rsidR="00BE25CB" w:rsidRDefault="004F760C">
      <w:pPr>
        <w:rPr>
          <w:b/>
          <w:sz w:val="28"/>
        </w:rPr>
      </w:pPr>
      <w:r>
        <w:rPr>
          <w:b/>
          <w:sz w:val="28"/>
        </w:rPr>
        <w:lastRenderedPageBreak/>
        <w:t>Typ beneficjenta – ogólny</w:t>
      </w:r>
    </w:p>
    <w:p w:rsidR="00BE25CB" w:rsidRDefault="004F760C">
      <w:pPr>
        <w:rPr>
          <w:b/>
          <w:sz w:val="28"/>
        </w:rPr>
      </w:pPr>
      <w:r>
        <w:rPr>
          <w:sz w:val="28"/>
        </w:rPr>
        <w:t>Służby publiczne</w:t>
      </w:r>
    </w:p>
    <w:p w:rsidR="00BE25CB" w:rsidRDefault="004F760C">
      <w:pPr>
        <w:rPr>
          <w:b/>
          <w:sz w:val="28"/>
        </w:rPr>
      </w:pPr>
      <w:r>
        <w:rPr>
          <w:b/>
          <w:sz w:val="28"/>
        </w:rPr>
        <w:t>Typ beneficjenta – szczegółowy</w:t>
      </w:r>
    </w:p>
    <w:p w:rsidR="00BE25CB" w:rsidRDefault="004F760C">
      <w:pPr>
        <w:rPr>
          <w:b/>
          <w:sz w:val="28"/>
        </w:rPr>
      </w:pPr>
      <w:r>
        <w:rPr>
          <w:sz w:val="28"/>
        </w:rPr>
        <w:t>Instytucje rynku pracy</w:t>
      </w:r>
    </w:p>
    <w:p w:rsidR="00BE25CB" w:rsidRDefault="004F760C">
      <w:pPr>
        <w:rPr>
          <w:b/>
          <w:sz w:val="28"/>
        </w:rPr>
      </w:pPr>
      <w:r>
        <w:rPr>
          <w:b/>
          <w:sz w:val="28"/>
        </w:rPr>
        <w:t>Grupa docelowa</w:t>
      </w:r>
    </w:p>
    <w:p w:rsidR="00BE25CB" w:rsidRDefault="004F760C">
      <w:pPr>
        <w:rPr>
          <w:b/>
          <w:sz w:val="28"/>
        </w:rPr>
      </w:pPr>
      <w:r>
        <w:rPr>
          <w:sz w:val="28"/>
        </w:rPr>
        <w:t>osoby w wieku 18-29 lat, osoby w wieku 55 lat i więcej, kobiety, osoby bezrobotne i poszukujące pracy, bezrobotni, osoby długotrwale bezrobotne, osoby o niskich kwalifikacjach, osoby z niepełnosprawnościami, osoby sprawujące opiekę nad dziećmi, osobami z niepełnosprawnościami czy osobami potrzebującymi wsparcia w codziennym funkcjonowaniu</w:t>
      </w:r>
    </w:p>
    <w:p w:rsidR="00BE25CB" w:rsidRDefault="004F760C">
      <w:pPr>
        <w:rPr>
          <w:b/>
          <w:sz w:val="28"/>
        </w:rPr>
      </w:pPr>
      <w:r>
        <w:rPr>
          <w:b/>
          <w:sz w:val="28"/>
        </w:rPr>
        <w:t>Słowa kluczowe</w:t>
      </w:r>
    </w:p>
    <w:p w:rsidR="00BE25CB" w:rsidRDefault="004F760C">
      <w:pPr>
        <w:rPr>
          <w:b/>
          <w:sz w:val="28"/>
        </w:rPr>
      </w:pPr>
      <w:proofErr w:type="spellStart"/>
      <w:r>
        <w:rPr>
          <w:sz w:val="28"/>
        </w:rPr>
        <w:t>doradztwo_zawodowe</w:t>
      </w:r>
      <w:proofErr w:type="spellEnd"/>
      <w:r>
        <w:rPr>
          <w:sz w:val="28"/>
        </w:rPr>
        <w:t xml:space="preserve">, kompetencje, </w:t>
      </w:r>
      <w:proofErr w:type="spellStart"/>
      <w:r>
        <w:rPr>
          <w:sz w:val="28"/>
        </w:rPr>
        <w:t>zakładanie_firmy</w:t>
      </w:r>
      <w:proofErr w:type="spellEnd"/>
      <w:r>
        <w:rPr>
          <w:sz w:val="28"/>
        </w:rPr>
        <w:t xml:space="preserve">, </w:t>
      </w:r>
      <w:proofErr w:type="spellStart"/>
      <w:r>
        <w:rPr>
          <w:sz w:val="28"/>
        </w:rPr>
        <w:t>instytucje_rynku_pracy</w:t>
      </w:r>
      <w:proofErr w:type="spellEnd"/>
      <w:r>
        <w:rPr>
          <w:sz w:val="28"/>
        </w:rPr>
        <w:t xml:space="preserve">, </w:t>
      </w:r>
      <w:proofErr w:type="spellStart"/>
      <w:r>
        <w:rPr>
          <w:sz w:val="28"/>
        </w:rPr>
        <w:t>rozwój_zawodowy</w:t>
      </w:r>
      <w:proofErr w:type="spellEnd"/>
      <w:r>
        <w:rPr>
          <w:sz w:val="28"/>
        </w:rPr>
        <w:t xml:space="preserve">, </w:t>
      </w:r>
      <w:proofErr w:type="spellStart"/>
      <w:r>
        <w:rPr>
          <w:sz w:val="28"/>
        </w:rPr>
        <w:t>dopasowanie_do_rynku_pracy</w:t>
      </w:r>
      <w:proofErr w:type="spellEnd"/>
      <w:r>
        <w:rPr>
          <w:sz w:val="28"/>
        </w:rPr>
        <w:t xml:space="preserve">, </w:t>
      </w:r>
      <w:proofErr w:type="spellStart"/>
      <w:r>
        <w:rPr>
          <w:sz w:val="28"/>
        </w:rPr>
        <w:t>aktywizacja_zawodowa</w:t>
      </w:r>
      <w:proofErr w:type="spellEnd"/>
      <w:r>
        <w:rPr>
          <w:sz w:val="28"/>
        </w:rPr>
        <w:t>, kwalifikacje, szkolenia</w:t>
      </w:r>
    </w:p>
    <w:p w:rsidR="00BE25CB" w:rsidRDefault="004F760C">
      <w:pPr>
        <w:rPr>
          <w:b/>
          <w:sz w:val="28"/>
        </w:rPr>
      </w:pPr>
      <w:r>
        <w:rPr>
          <w:b/>
          <w:sz w:val="28"/>
        </w:rPr>
        <w:t>Wskaźniki produktu</w:t>
      </w:r>
    </w:p>
    <w:p w:rsidR="00BE25CB" w:rsidRDefault="004F760C">
      <w:pPr>
        <w:rPr>
          <w:b/>
          <w:sz w:val="28"/>
        </w:rPr>
      </w:pPr>
      <w:r>
        <w:rPr>
          <w:sz w:val="28"/>
        </w:rPr>
        <w:t>WLWK-PL0CO02 - Liczba obiektów dostosowanych do potrzeb osób z niepełnosprawnościami</w:t>
      </w:r>
    </w:p>
    <w:p w:rsidR="00BE25CB" w:rsidRDefault="004F760C">
      <w:pPr>
        <w:rPr>
          <w:b/>
          <w:sz w:val="28"/>
        </w:rPr>
      </w:pPr>
      <w:r>
        <w:rPr>
          <w:sz w:val="28"/>
        </w:rPr>
        <w:t>WLWK-EECO02 - Liczba osób bezrobotnych, w tym długotrwale bezrobotnych, objętych wsparciem w programie</w:t>
      </w:r>
    </w:p>
    <w:p w:rsidR="00BE25CB" w:rsidRDefault="004F760C">
      <w:pPr>
        <w:rPr>
          <w:b/>
          <w:sz w:val="28"/>
        </w:rPr>
      </w:pPr>
      <w:r>
        <w:rPr>
          <w:sz w:val="28"/>
        </w:rPr>
        <w:t>WLWK-EECO03 - Liczba osób długotrwale bezrobotnych objętych wsparciem w programie</w:t>
      </w:r>
    </w:p>
    <w:p w:rsidR="00BE25CB" w:rsidRDefault="004F760C">
      <w:pPr>
        <w:rPr>
          <w:b/>
          <w:sz w:val="28"/>
        </w:rPr>
      </w:pPr>
      <w:r>
        <w:rPr>
          <w:sz w:val="28"/>
        </w:rPr>
        <w:t>WLWK-PLACO01 - Liczba osób, które otrzymały bezzwrotne środki na podjęcie działalności gospodarczej w programie</w:t>
      </w:r>
    </w:p>
    <w:p w:rsidR="00BE25CB" w:rsidRDefault="004F760C">
      <w:pPr>
        <w:rPr>
          <w:b/>
          <w:sz w:val="28"/>
        </w:rPr>
      </w:pPr>
      <w:r>
        <w:rPr>
          <w:sz w:val="28"/>
        </w:rPr>
        <w:t>WLWK-EECO15 - Liczba osób należących do mniejszości, w tym społeczności marginalizowanych takich jak Romowie, objętych wsparciem w programie</w:t>
      </w:r>
    </w:p>
    <w:p w:rsidR="00BE25CB" w:rsidRDefault="004F760C">
      <w:pPr>
        <w:rPr>
          <w:b/>
          <w:sz w:val="28"/>
        </w:rPr>
      </w:pPr>
      <w:r>
        <w:rPr>
          <w:sz w:val="28"/>
        </w:rPr>
        <w:lastRenderedPageBreak/>
        <w:t>WLWK-EECO14 - Liczba osób obcego pochodzenia objętych wsparciem w programie</w:t>
      </w:r>
    </w:p>
    <w:p w:rsidR="00BE25CB" w:rsidRDefault="004F760C">
      <w:pPr>
        <w:rPr>
          <w:b/>
          <w:sz w:val="28"/>
        </w:rPr>
      </w:pPr>
      <w:r>
        <w:rPr>
          <w:sz w:val="28"/>
        </w:rPr>
        <w:t>WLWK-EECO16 - Liczba osób w kryzysie bezdomności lub dotkniętych wykluczeniem z dostępu do mieszkań, objętych wsparciem w programie</w:t>
      </w:r>
    </w:p>
    <w:p w:rsidR="00BE25CB" w:rsidRDefault="004F760C">
      <w:pPr>
        <w:rPr>
          <w:b/>
          <w:sz w:val="28"/>
        </w:rPr>
      </w:pPr>
      <w:r>
        <w:rPr>
          <w:sz w:val="28"/>
        </w:rPr>
        <w:t>WLWK-EECO07 - Liczba osób w wieku 18-29 lat objętych wsparciem w programie</w:t>
      </w:r>
    </w:p>
    <w:p w:rsidR="00BE25CB" w:rsidRDefault="004F760C">
      <w:pPr>
        <w:rPr>
          <w:b/>
          <w:sz w:val="28"/>
        </w:rPr>
      </w:pPr>
      <w:r>
        <w:rPr>
          <w:sz w:val="28"/>
        </w:rPr>
        <w:t>WLWK-EECO08 - Liczba osób w wieku 55 lat i więcej  objętych wsparciem w programie</w:t>
      </w:r>
    </w:p>
    <w:p w:rsidR="00BE25CB" w:rsidRDefault="004F760C">
      <w:pPr>
        <w:rPr>
          <w:b/>
          <w:sz w:val="28"/>
        </w:rPr>
      </w:pPr>
      <w:r>
        <w:rPr>
          <w:sz w:val="28"/>
        </w:rPr>
        <w:t>WLWK-EECO13 - Liczba osób z krajów trzecich objętych wsparciem w programie</w:t>
      </w:r>
    </w:p>
    <w:p w:rsidR="00BE25CB" w:rsidRDefault="004F760C">
      <w:pPr>
        <w:rPr>
          <w:b/>
          <w:sz w:val="28"/>
        </w:rPr>
      </w:pPr>
      <w:r>
        <w:rPr>
          <w:sz w:val="28"/>
        </w:rPr>
        <w:t>WLWK-EECO12 - Liczba osób z niepełnosprawnościami objętych wsparciem w programie</w:t>
      </w:r>
    </w:p>
    <w:p w:rsidR="00BE25CB" w:rsidRDefault="004F760C">
      <w:pPr>
        <w:rPr>
          <w:b/>
          <w:sz w:val="28"/>
        </w:rPr>
      </w:pPr>
      <w:r>
        <w:rPr>
          <w:sz w:val="28"/>
        </w:rPr>
        <w:t>WLWK-PL0CO01 - Liczba projektów, w których sfinansowano koszty racjonalnych usprawnień dla osób z niepełnosprawnościami</w:t>
      </w:r>
    </w:p>
    <w:p w:rsidR="00BE25CB" w:rsidRDefault="004F760C">
      <w:pPr>
        <w:rPr>
          <w:b/>
          <w:sz w:val="28"/>
        </w:rPr>
      </w:pPr>
      <w:r>
        <w:rPr>
          <w:sz w:val="28"/>
        </w:rPr>
        <w:t>PROG-FEPM-EFS-002 - Wartość wydatków kwalifikowalnych przeznaczonych na realizację gwarancji dla młodzieży</w:t>
      </w:r>
    </w:p>
    <w:p w:rsidR="00BE25CB" w:rsidRDefault="004F760C">
      <w:pPr>
        <w:rPr>
          <w:b/>
          <w:sz w:val="28"/>
        </w:rPr>
      </w:pPr>
      <w:r>
        <w:rPr>
          <w:b/>
          <w:sz w:val="28"/>
        </w:rPr>
        <w:t>Wskaźniki rezultatu</w:t>
      </w:r>
    </w:p>
    <w:p w:rsidR="00BE25CB" w:rsidRDefault="004F760C">
      <w:pPr>
        <w:rPr>
          <w:b/>
          <w:sz w:val="28"/>
        </w:rPr>
      </w:pPr>
      <w:r>
        <w:rPr>
          <w:sz w:val="28"/>
        </w:rPr>
        <w:t>WLWK-EECR02 - Liczba osób, które podjęły kształcenie lub szkolenie po opuszczeniu programu</w:t>
      </w:r>
    </w:p>
    <w:p w:rsidR="00BE25CB" w:rsidRDefault="004F760C">
      <w:pPr>
        <w:rPr>
          <w:b/>
          <w:sz w:val="28"/>
        </w:rPr>
      </w:pPr>
      <w:r>
        <w:rPr>
          <w:sz w:val="28"/>
        </w:rPr>
        <w:t>WLWK-EECR03 - Liczba osób, które uzyskały kwalifikacje po opuszczeniu programu</w:t>
      </w:r>
    </w:p>
    <w:p w:rsidR="00BE25CB" w:rsidRDefault="004F760C">
      <w:pPr>
        <w:rPr>
          <w:b/>
          <w:sz w:val="28"/>
        </w:rPr>
      </w:pPr>
      <w:r>
        <w:rPr>
          <w:sz w:val="28"/>
        </w:rPr>
        <w:t>WLWK-EECR04 - Liczba osób pracujących, łącznie z prowadzącymi działalność na własny rachunek, po opuszczeniu programu</w:t>
      </w:r>
    </w:p>
    <w:p w:rsidR="00BE25CB" w:rsidRDefault="00BE25CB">
      <w:pPr>
        <w:rPr>
          <w:b/>
          <w:sz w:val="28"/>
        </w:rPr>
      </w:pPr>
    </w:p>
    <w:p w:rsidR="00BE25CB" w:rsidRDefault="00BE25CB">
      <w:pPr>
        <w:rPr>
          <w:b/>
          <w:i/>
          <w:sz w:val="44"/>
          <w:highlight w:val="magenta"/>
        </w:rPr>
      </w:pPr>
    </w:p>
    <w:sectPr w:rsidR="00BE25CB">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468" w:rsidRDefault="004F760C">
      <w:pPr>
        <w:spacing w:after="0" w:line="240" w:lineRule="auto"/>
      </w:pPr>
      <w:r>
        <w:separator/>
      </w:r>
    </w:p>
  </w:endnote>
  <w:endnote w:type="continuationSeparator" w:id="0">
    <w:p w:rsidR="00964468" w:rsidRDefault="004F7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CB" w:rsidRDefault="004F760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468" w:rsidRDefault="004F760C">
      <w:pPr>
        <w:spacing w:after="0" w:line="240" w:lineRule="auto"/>
      </w:pPr>
      <w:r>
        <w:separator/>
      </w:r>
    </w:p>
  </w:footnote>
  <w:footnote w:type="continuationSeparator" w:id="0">
    <w:p w:rsidR="00964468" w:rsidRDefault="004F7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8A9DC73-780D-4731-B02E-E909ECD23516}"/>
  </w:docVars>
  <w:rsids>
    <w:rsidRoot w:val="00BE25CB"/>
    <w:rsid w:val="004F760C"/>
    <w:rsid w:val="00964468"/>
    <w:rsid w:val="009F1444"/>
    <w:rsid w:val="00BE25CB"/>
    <w:rsid w:val="00D05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421C"/>
  <w15:docId w15:val="{E4A6D492-CEED-4DC5-9FFF-37B5773B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B8A9DC73-780D-4731-B02E-E909ECD2351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10010</Words>
  <Characters>60060</Characters>
  <Application>Microsoft Office Word</Application>
  <DocSecurity>0</DocSecurity>
  <Lines>500</Lines>
  <Paragraphs>139</Paragraphs>
  <ScaleCrop>false</ScaleCrop>
  <Company>Urzad Marszalkowski Wojewodztwa Pomorskiego</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2023-03-02T11:00:00Z</dcterms:created>
  <dcterms:modified xsi:type="dcterms:W3CDTF">2023-03-02T12:04:00Z</dcterms:modified>
</cp:coreProperties>
</file>