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6E5" w:rsidRDefault="004366E5" w:rsidP="004366E5">
      <w:pPr>
        <w:jc w:val="right"/>
      </w:pPr>
    </w:p>
    <w:p w:rsidR="00202C2D" w:rsidRDefault="00202C2D" w:rsidP="004366E5">
      <w:pPr>
        <w:rPr>
          <w:b/>
          <w:sz w:val="44"/>
        </w:rPr>
      </w:pPr>
      <w:bookmarkStart w:id="0" w:name="_GoBack"/>
      <w:bookmarkEnd w:id="0"/>
    </w:p>
    <w:p w:rsidR="00202C2D" w:rsidRDefault="00202C2D">
      <w:pPr>
        <w:jc w:val="center"/>
        <w:rPr>
          <w:b/>
          <w:sz w:val="44"/>
        </w:rPr>
      </w:pPr>
    </w:p>
    <w:p w:rsidR="00202C2D" w:rsidRDefault="004366E5">
      <w:pPr>
        <w:jc w:val="center"/>
        <w:rPr>
          <w:b/>
          <w:sz w:val="44"/>
        </w:rPr>
      </w:pPr>
      <w:r>
        <w:rPr>
          <w:b/>
          <w:sz w:val="44"/>
        </w:rPr>
        <w:t>Szczegółowy Opis Priorytetów</w:t>
      </w:r>
    </w:p>
    <w:p w:rsidR="00202C2D" w:rsidRDefault="004366E5">
      <w:pPr>
        <w:jc w:val="center"/>
        <w:rPr>
          <w:b/>
          <w:sz w:val="44"/>
        </w:rPr>
      </w:pPr>
      <w:r>
        <w:rPr>
          <w:b/>
          <w:sz w:val="44"/>
        </w:rPr>
        <w:t>Programu</w:t>
      </w:r>
    </w:p>
    <w:p w:rsidR="00202C2D" w:rsidRDefault="004366E5">
      <w:pPr>
        <w:jc w:val="center"/>
        <w:rPr>
          <w:b/>
          <w:sz w:val="44"/>
        </w:rPr>
      </w:pPr>
      <w:r>
        <w:rPr>
          <w:b/>
          <w:sz w:val="44"/>
        </w:rPr>
        <w:t>Fundusze Europejskie dla Pomorza 2021-2027</w:t>
      </w:r>
    </w:p>
    <w:p w:rsidR="00202C2D" w:rsidRDefault="00202C2D">
      <w:pPr>
        <w:jc w:val="center"/>
        <w:rPr>
          <w:b/>
          <w:sz w:val="44"/>
        </w:rPr>
      </w:pPr>
    </w:p>
    <w:p w:rsidR="00202C2D" w:rsidRDefault="004366E5">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1285200" cy="1522800"/>
                    </a:xfrm>
                    <a:prstGeom prst="rect">
                      <a:avLst/>
                    </a:prstGeom>
                  </pic:spPr>
                </pic:pic>
              </a:graphicData>
            </a:graphic>
          </wp:inline>
        </w:drawing>
      </w:r>
    </w:p>
    <w:p w:rsidR="00202C2D" w:rsidRDefault="00202C2D">
      <w:pPr>
        <w:jc w:val="center"/>
        <w:rPr>
          <w:b/>
          <w:sz w:val="44"/>
        </w:rPr>
      </w:pPr>
    </w:p>
    <w:p w:rsidR="00202C2D" w:rsidRDefault="004366E5">
      <w:pPr>
        <w:jc w:val="center"/>
      </w:pPr>
      <w:r>
        <w:t>Wersja SZOP.FEPM.002</w:t>
      </w:r>
    </w:p>
    <w:p w:rsidR="00202C2D" w:rsidRDefault="004366E5">
      <w:pPr>
        <w:jc w:val="center"/>
      </w:pPr>
      <w:r>
        <w:t xml:space="preserve"> Obowiązuje od dnia 2023-04-18</w:t>
      </w:r>
    </w:p>
    <w:p w:rsidR="00202C2D" w:rsidRPr="004366E5" w:rsidRDefault="004366E5" w:rsidP="004366E5">
      <w:pPr>
        <w:jc w:val="center"/>
      </w:pPr>
      <w:r>
        <w:t>SZOP Bieżący</w:t>
      </w:r>
    </w:p>
    <w:p w:rsidR="00202C2D" w:rsidRDefault="004366E5">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202C2D" w:rsidRDefault="00202C2D">
      <w:pPr>
        <w:rPr>
          <w:b/>
          <w:i/>
          <w:sz w:val="44"/>
          <w:highlight w:val="yellow"/>
        </w:rPr>
      </w:pPr>
    </w:p>
    <w:p w:rsidR="00202C2D" w:rsidRDefault="004366E5">
      <w:pPr>
        <w:rPr>
          <w:b/>
          <w:i/>
          <w:sz w:val="44"/>
        </w:rPr>
      </w:pPr>
      <w:r>
        <w:lastRenderedPageBreak/>
        <w:br w:type="page"/>
      </w:r>
    </w:p>
    <w:p w:rsidR="00202C2D" w:rsidRDefault="004366E5">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202C2D" w:rsidRDefault="00202C2D">
      <w:pPr>
        <w:rPr>
          <w:b/>
        </w:rPr>
      </w:pPr>
    </w:p>
    <w:p w:rsidR="00202C2D" w:rsidRDefault="00202C2D">
      <w:pPr>
        <w:rPr>
          <w:b/>
        </w:rPr>
      </w:pPr>
    </w:p>
    <w:p w:rsidR="004366E5" w:rsidRDefault="004366E5">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32713987" w:history="1">
        <w:r w:rsidRPr="00875F72">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_Toc132713987 \h </w:instrText>
        </w:r>
        <w:r>
          <w:rPr>
            <w:noProof/>
            <w:webHidden/>
          </w:rPr>
        </w:r>
        <w:r>
          <w:rPr>
            <w:noProof/>
            <w:webHidden/>
          </w:rPr>
          <w:fldChar w:fldCharType="separate"/>
        </w:r>
        <w:r>
          <w:rPr>
            <w:noProof/>
            <w:webHidden/>
          </w:rPr>
          <w:t>5</w:t>
        </w:r>
        <w:r>
          <w:rPr>
            <w:noProof/>
            <w:webHidden/>
          </w:rPr>
          <w:fldChar w:fldCharType="end"/>
        </w:r>
      </w:hyperlink>
    </w:p>
    <w:p w:rsidR="004366E5" w:rsidRDefault="00DC3A2E">
      <w:pPr>
        <w:pStyle w:val="Spistreci2"/>
        <w:tabs>
          <w:tab w:val="right" w:leader="dot" w:pos="9396"/>
        </w:tabs>
        <w:rPr>
          <w:rFonts w:eastAsiaTheme="minorEastAsia" w:cstheme="minorBidi"/>
          <w:noProof/>
          <w:sz w:val="22"/>
          <w:szCs w:val="22"/>
        </w:rPr>
      </w:pPr>
      <w:hyperlink w:anchor="_Toc132713988" w:history="1">
        <w:r w:rsidR="004366E5" w:rsidRPr="00875F72">
          <w:rPr>
            <w:rStyle w:val="Hipercze"/>
            <w:rFonts w:ascii="Calibri" w:hAnsi="Calibri"/>
            <w:noProof/>
          </w:rPr>
          <w:t>Priorytet FEPM.02 Fundusze europejskie dla zielonego Pomorza</w:t>
        </w:r>
        <w:r w:rsidR="004366E5">
          <w:rPr>
            <w:noProof/>
            <w:webHidden/>
          </w:rPr>
          <w:tab/>
        </w:r>
        <w:r w:rsidR="004366E5">
          <w:rPr>
            <w:noProof/>
            <w:webHidden/>
          </w:rPr>
          <w:fldChar w:fldCharType="begin"/>
        </w:r>
        <w:r w:rsidR="004366E5">
          <w:rPr>
            <w:noProof/>
            <w:webHidden/>
          </w:rPr>
          <w:instrText xml:space="preserve"> PAGEREF _Toc132713988 \h </w:instrText>
        </w:r>
        <w:r w:rsidR="004366E5">
          <w:rPr>
            <w:noProof/>
            <w:webHidden/>
          </w:rPr>
        </w:r>
        <w:r w:rsidR="004366E5">
          <w:rPr>
            <w:noProof/>
            <w:webHidden/>
          </w:rPr>
          <w:fldChar w:fldCharType="separate"/>
        </w:r>
        <w:r w:rsidR="004366E5">
          <w:rPr>
            <w:noProof/>
            <w:webHidden/>
          </w:rPr>
          <w:t>5</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89" w:history="1">
        <w:r w:rsidR="004366E5" w:rsidRPr="00875F72">
          <w:rPr>
            <w:rStyle w:val="Hipercze"/>
            <w:rFonts w:ascii="Calibri" w:hAnsi="Calibri"/>
            <w:noProof/>
          </w:rPr>
          <w:t>Działanie FEPM.02.12 Zrównoważona gospodarka wodna</w:t>
        </w:r>
        <w:r w:rsidR="004366E5">
          <w:rPr>
            <w:noProof/>
            <w:webHidden/>
          </w:rPr>
          <w:tab/>
        </w:r>
        <w:r w:rsidR="004366E5">
          <w:rPr>
            <w:noProof/>
            <w:webHidden/>
          </w:rPr>
          <w:fldChar w:fldCharType="begin"/>
        </w:r>
        <w:r w:rsidR="004366E5">
          <w:rPr>
            <w:noProof/>
            <w:webHidden/>
          </w:rPr>
          <w:instrText xml:space="preserve"> PAGEREF _Toc132713989 \h </w:instrText>
        </w:r>
        <w:r w:rsidR="004366E5">
          <w:rPr>
            <w:noProof/>
            <w:webHidden/>
          </w:rPr>
        </w:r>
        <w:r w:rsidR="004366E5">
          <w:rPr>
            <w:noProof/>
            <w:webHidden/>
          </w:rPr>
          <w:fldChar w:fldCharType="separate"/>
        </w:r>
        <w:r w:rsidR="004366E5">
          <w:rPr>
            <w:noProof/>
            <w:webHidden/>
          </w:rPr>
          <w:t>5</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0" w:history="1">
        <w:r w:rsidR="004366E5" w:rsidRPr="00875F72">
          <w:rPr>
            <w:rStyle w:val="Hipercze"/>
            <w:rFonts w:ascii="Calibri" w:hAnsi="Calibri"/>
            <w:noProof/>
          </w:rPr>
          <w:t>Działanie FEPM.02.13 Gospodarka o obiegu zamkniętym</w:t>
        </w:r>
        <w:r w:rsidR="004366E5">
          <w:rPr>
            <w:noProof/>
            <w:webHidden/>
          </w:rPr>
          <w:tab/>
        </w:r>
        <w:r w:rsidR="004366E5">
          <w:rPr>
            <w:noProof/>
            <w:webHidden/>
          </w:rPr>
          <w:fldChar w:fldCharType="begin"/>
        </w:r>
        <w:r w:rsidR="004366E5">
          <w:rPr>
            <w:noProof/>
            <w:webHidden/>
          </w:rPr>
          <w:instrText xml:space="preserve"> PAGEREF _Toc132713990 \h </w:instrText>
        </w:r>
        <w:r w:rsidR="004366E5">
          <w:rPr>
            <w:noProof/>
            <w:webHidden/>
          </w:rPr>
        </w:r>
        <w:r w:rsidR="004366E5">
          <w:rPr>
            <w:noProof/>
            <w:webHidden/>
          </w:rPr>
          <w:fldChar w:fldCharType="separate"/>
        </w:r>
        <w:r w:rsidR="004366E5">
          <w:rPr>
            <w:noProof/>
            <w:webHidden/>
          </w:rPr>
          <w:t>13</w:t>
        </w:r>
        <w:r w:rsidR="004366E5">
          <w:rPr>
            <w:noProof/>
            <w:webHidden/>
          </w:rPr>
          <w:fldChar w:fldCharType="end"/>
        </w:r>
      </w:hyperlink>
    </w:p>
    <w:p w:rsidR="004366E5" w:rsidRDefault="00DC3A2E">
      <w:pPr>
        <w:pStyle w:val="Spistreci2"/>
        <w:tabs>
          <w:tab w:val="right" w:leader="dot" w:pos="9396"/>
        </w:tabs>
        <w:rPr>
          <w:rFonts w:eastAsiaTheme="minorEastAsia" w:cstheme="minorBidi"/>
          <w:noProof/>
          <w:sz w:val="22"/>
          <w:szCs w:val="22"/>
        </w:rPr>
      </w:pPr>
      <w:hyperlink w:anchor="_Toc132713991" w:history="1">
        <w:r w:rsidR="004366E5" w:rsidRPr="00875F72">
          <w:rPr>
            <w:rStyle w:val="Hipercze"/>
            <w:rFonts w:ascii="Calibri" w:hAnsi="Calibri"/>
            <w:noProof/>
          </w:rPr>
          <w:t>Priorytet FEPM.03 Fundusze europejskie dla mobilnego Pomorza</w:t>
        </w:r>
        <w:r w:rsidR="004366E5">
          <w:rPr>
            <w:noProof/>
            <w:webHidden/>
          </w:rPr>
          <w:tab/>
        </w:r>
        <w:r w:rsidR="004366E5">
          <w:rPr>
            <w:noProof/>
            <w:webHidden/>
          </w:rPr>
          <w:fldChar w:fldCharType="begin"/>
        </w:r>
        <w:r w:rsidR="004366E5">
          <w:rPr>
            <w:noProof/>
            <w:webHidden/>
          </w:rPr>
          <w:instrText xml:space="preserve"> PAGEREF _Toc132713991 \h </w:instrText>
        </w:r>
        <w:r w:rsidR="004366E5">
          <w:rPr>
            <w:noProof/>
            <w:webHidden/>
          </w:rPr>
        </w:r>
        <w:r w:rsidR="004366E5">
          <w:rPr>
            <w:noProof/>
            <w:webHidden/>
          </w:rPr>
          <w:fldChar w:fldCharType="separate"/>
        </w:r>
        <w:r w:rsidR="004366E5">
          <w:rPr>
            <w:noProof/>
            <w:webHidden/>
          </w:rPr>
          <w:t>21</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2" w:history="1">
        <w:r w:rsidR="004366E5" w:rsidRPr="00875F72">
          <w:rPr>
            <w:rStyle w:val="Hipercze"/>
            <w:rFonts w:ascii="Calibri" w:hAnsi="Calibri"/>
            <w:noProof/>
          </w:rPr>
          <w:t>Działanie FEPM.03.01 Mobilność miejska</w:t>
        </w:r>
        <w:r w:rsidR="004366E5">
          <w:rPr>
            <w:noProof/>
            <w:webHidden/>
          </w:rPr>
          <w:tab/>
        </w:r>
        <w:r w:rsidR="004366E5">
          <w:rPr>
            <w:noProof/>
            <w:webHidden/>
          </w:rPr>
          <w:fldChar w:fldCharType="begin"/>
        </w:r>
        <w:r w:rsidR="004366E5">
          <w:rPr>
            <w:noProof/>
            <w:webHidden/>
          </w:rPr>
          <w:instrText xml:space="preserve"> PAGEREF _Toc132713992 \h </w:instrText>
        </w:r>
        <w:r w:rsidR="004366E5">
          <w:rPr>
            <w:noProof/>
            <w:webHidden/>
          </w:rPr>
        </w:r>
        <w:r w:rsidR="004366E5">
          <w:rPr>
            <w:noProof/>
            <w:webHidden/>
          </w:rPr>
          <w:fldChar w:fldCharType="separate"/>
        </w:r>
        <w:r w:rsidR="004366E5">
          <w:rPr>
            <w:noProof/>
            <w:webHidden/>
          </w:rPr>
          <w:t>21</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3" w:history="1">
        <w:r w:rsidR="004366E5" w:rsidRPr="00875F72">
          <w:rPr>
            <w:rStyle w:val="Hipercze"/>
            <w:rFonts w:ascii="Calibri" w:hAnsi="Calibri"/>
            <w:noProof/>
          </w:rPr>
          <w:t>Działanie FEPM.03.02 Mobilność miejska – ZIT na terenie obszaru metropolitalnego</w:t>
        </w:r>
        <w:r w:rsidR="004366E5">
          <w:rPr>
            <w:noProof/>
            <w:webHidden/>
          </w:rPr>
          <w:tab/>
        </w:r>
        <w:r w:rsidR="004366E5">
          <w:rPr>
            <w:noProof/>
            <w:webHidden/>
          </w:rPr>
          <w:fldChar w:fldCharType="begin"/>
        </w:r>
        <w:r w:rsidR="004366E5">
          <w:rPr>
            <w:noProof/>
            <w:webHidden/>
          </w:rPr>
          <w:instrText xml:space="preserve"> PAGEREF _Toc132713993 \h </w:instrText>
        </w:r>
        <w:r w:rsidR="004366E5">
          <w:rPr>
            <w:noProof/>
            <w:webHidden/>
          </w:rPr>
        </w:r>
        <w:r w:rsidR="004366E5">
          <w:rPr>
            <w:noProof/>
            <w:webHidden/>
          </w:rPr>
          <w:fldChar w:fldCharType="separate"/>
        </w:r>
        <w:r w:rsidR="004366E5">
          <w:rPr>
            <w:noProof/>
            <w:webHidden/>
          </w:rPr>
          <w:t>31</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4" w:history="1">
        <w:r w:rsidR="004366E5" w:rsidRPr="00875F72">
          <w:rPr>
            <w:rStyle w:val="Hipercze"/>
            <w:rFonts w:ascii="Calibri" w:hAnsi="Calibri"/>
            <w:noProof/>
          </w:rPr>
          <w:t>Działanie FEPM.03.03 Mobilność miejska – ZIT poza terenem obszaru metropolitalnego</w:t>
        </w:r>
        <w:r w:rsidR="004366E5">
          <w:rPr>
            <w:noProof/>
            <w:webHidden/>
          </w:rPr>
          <w:tab/>
        </w:r>
        <w:r w:rsidR="004366E5">
          <w:rPr>
            <w:noProof/>
            <w:webHidden/>
          </w:rPr>
          <w:fldChar w:fldCharType="begin"/>
        </w:r>
        <w:r w:rsidR="004366E5">
          <w:rPr>
            <w:noProof/>
            <w:webHidden/>
          </w:rPr>
          <w:instrText xml:space="preserve"> PAGEREF _Toc132713994 \h </w:instrText>
        </w:r>
        <w:r w:rsidR="004366E5">
          <w:rPr>
            <w:noProof/>
            <w:webHidden/>
          </w:rPr>
        </w:r>
        <w:r w:rsidR="004366E5">
          <w:rPr>
            <w:noProof/>
            <w:webHidden/>
          </w:rPr>
          <w:fldChar w:fldCharType="separate"/>
        </w:r>
        <w:r w:rsidR="004366E5">
          <w:rPr>
            <w:noProof/>
            <w:webHidden/>
          </w:rPr>
          <w:t>40</w:t>
        </w:r>
        <w:r w:rsidR="004366E5">
          <w:rPr>
            <w:noProof/>
            <w:webHidden/>
          </w:rPr>
          <w:fldChar w:fldCharType="end"/>
        </w:r>
      </w:hyperlink>
    </w:p>
    <w:p w:rsidR="004366E5" w:rsidRDefault="00DC3A2E">
      <w:pPr>
        <w:pStyle w:val="Spistreci2"/>
        <w:tabs>
          <w:tab w:val="right" w:leader="dot" w:pos="9396"/>
        </w:tabs>
        <w:rPr>
          <w:rFonts w:eastAsiaTheme="minorEastAsia" w:cstheme="minorBidi"/>
          <w:noProof/>
          <w:sz w:val="22"/>
          <w:szCs w:val="22"/>
        </w:rPr>
      </w:pPr>
      <w:hyperlink w:anchor="_Toc132713995" w:history="1">
        <w:r w:rsidR="004366E5" w:rsidRPr="00875F72">
          <w:rPr>
            <w:rStyle w:val="Hipercze"/>
            <w:rFonts w:ascii="Calibri" w:hAnsi="Calibri"/>
            <w:noProof/>
          </w:rPr>
          <w:t>Priorytet FEPM.04 Fundusze europejskie dla lepiej połączonego Pomorza</w:t>
        </w:r>
        <w:r w:rsidR="004366E5">
          <w:rPr>
            <w:noProof/>
            <w:webHidden/>
          </w:rPr>
          <w:tab/>
        </w:r>
        <w:r w:rsidR="004366E5">
          <w:rPr>
            <w:noProof/>
            <w:webHidden/>
          </w:rPr>
          <w:fldChar w:fldCharType="begin"/>
        </w:r>
        <w:r w:rsidR="004366E5">
          <w:rPr>
            <w:noProof/>
            <w:webHidden/>
          </w:rPr>
          <w:instrText xml:space="preserve"> PAGEREF _Toc132713995 \h </w:instrText>
        </w:r>
        <w:r w:rsidR="004366E5">
          <w:rPr>
            <w:noProof/>
            <w:webHidden/>
          </w:rPr>
        </w:r>
        <w:r w:rsidR="004366E5">
          <w:rPr>
            <w:noProof/>
            <w:webHidden/>
          </w:rPr>
          <w:fldChar w:fldCharType="separate"/>
        </w:r>
        <w:r w:rsidR="004366E5">
          <w:rPr>
            <w:noProof/>
            <w:webHidden/>
          </w:rPr>
          <w:t>49</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6" w:history="1">
        <w:r w:rsidR="004366E5" w:rsidRPr="00875F72">
          <w:rPr>
            <w:rStyle w:val="Hipercze"/>
            <w:rFonts w:ascii="Calibri" w:hAnsi="Calibri"/>
            <w:noProof/>
          </w:rPr>
          <w:t>Działanie FEPM.04.01 Infrastruktura drogowa</w:t>
        </w:r>
        <w:r w:rsidR="004366E5">
          <w:rPr>
            <w:noProof/>
            <w:webHidden/>
          </w:rPr>
          <w:tab/>
        </w:r>
        <w:r w:rsidR="004366E5">
          <w:rPr>
            <w:noProof/>
            <w:webHidden/>
          </w:rPr>
          <w:fldChar w:fldCharType="begin"/>
        </w:r>
        <w:r w:rsidR="004366E5">
          <w:rPr>
            <w:noProof/>
            <w:webHidden/>
          </w:rPr>
          <w:instrText xml:space="preserve"> PAGEREF _Toc132713996 \h </w:instrText>
        </w:r>
        <w:r w:rsidR="004366E5">
          <w:rPr>
            <w:noProof/>
            <w:webHidden/>
          </w:rPr>
        </w:r>
        <w:r w:rsidR="004366E5">
          <w:rPr>
            <w:noProof/>
            <w:webHidden/>
          </w:rPr>
          <w:fldChar w:fldCharType="separate"/>
        </w:r>
        <w:r w:rsidR="004366E5">
          <w:rPr>
            <w:noProof/>
            <w:webHidden/>
          </w:rPr>
          <w:t>49</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7" w:history="1">
        <w:r w:rsidR="004366E5" w:rsidRPr="00875F72">
          <w:rPr>
            <w:rStyle w:val="Hipercze"/>
            <w:rFonts w:ascii="Calibri" w:hAnsi="Calibri"/>
            <w:noProof/>
          </w:rPr>
          <w:t>Działanie FEPM.04.02 Tabor kolejowy</w:t>
        </w:r>
        <w:r w:rsidR="004366E5">
          <w:rPr>
            <w:noProof/>
            <w:webHidden/>
          </w:rPr>
          <w:tab/>
        </w:r>
        <w:r w:rsidR="004366E5">
          <w:rPr>
            <w:noProof/>
            <w:webHidden/>
          </w:rPr>
          <w:fldChar w:fldCharType="begin"/>
        </w:r>
        <w:r w:rsidR="004366E5">
          <w:rPr>
            <w:noProof/>
            <w:webHidden/>
          </w:rPr>
          <w:instrText xml:space="preserve"> PAGEREF _Toc132713997 \h </w:instrText>
        </w:r>
        <w:r w:rsidR="004366E5">
          <w:rPr>
            <w:noProof/>
            <w:webHidden/>
          </w:rPr>
        </w:r>
        <w:r w:rsidR="004366E5">
          <w:rPr>
            <w:noProof/>
            <w:webHidden/>
          </w:rPr>
          <w:fldChar w:fldCharType="separate"/>
        </w:r>
        <w:r w:rsidR="004366E5">
          <w:rPr>
            <w:noProof/>
            <w:webHidden/>
          </w:rPr>
          <w:t>55</w:t>
        </w:r>
        <w:r w:rsidR="004366E5">
          <w:rPr>
            <w:noProof/>
            <w:webHidden/>
          </w:rPr>
          <w:fldChar w:fldCharType="end"/>
        </w:r>
      </w:hyperlink>
    </w:p>
    <w:p w:rsidR="004366E5" w:rsidRDefault="00DC3A2E">
      <w:pPr>
        <w:pStyle w:val="Spistreci2"/>
        <w:tabs>
          <w:tab w:val="right" w:leader="dot" w:pos="9396"/>
        </w:tabs>
        <w:rPr>
          <w:rFonts w:eastAsiaTheme="minorEastAsia" w:cstheme="minorBidi"/>
          <w:noProof/>
          <w:sz w:val="22"/>
          <w:szCs w:val="22"/>
        </w:rPr>
      </w:pPr>
      <w:hyperlink w:anchor="_Toc132713998" w:history="1">
        <w:r w:rsidR="004366E5" w:rsidRPr="00875F72">
          <w:rPr>
            <w:rStyle w:val="Hipercze"/>
            <w:rFonts w:ascii="Calibri" w:hAnsi="Calibri"/>
            <w:noProof/>
          </w:rPr>
          <w:t>Priorytet FEPM.05 Fundusze europejskie dla silnego społecznie Pomorza (EFS+)</w:t>
        </w:r>
        <w:r w:rsidR="004366E5">
          <w:rPr>
            <w:noProof/>
            <w:webHidden/>
          </w:rPr>
          <w:tab/>
        </w:r>
        <w:r w:rsidR="004366E5">
          <w:rPr>
            <w:noProof/>
            <w:webHidden/>
          </w:rPr>
          <w:fldChar w:fldCharType="begin"/>
        </w:r>
        <w:r w:rsidR="004366E5">
          <w:rPr>
            <w:noProof/>
            <w:webHidden/>
          </w:rPr>
          <w:instrText xml:space="preserve"> PAGEREF _Toc132713998 \h </w:instrText>
        </w:r>
        <w:r w:rsidR="004366E5">
          <w:rPr>
            <w:noProof/>
            <w:webHidden/>
          </w:rPr>
        </w:r>
        <w:r w:rsidR="004366E5">
          <w:rPr>
            <w:noProof/>
            <w:webHidden/>
          </w:rPr>
          <w:fldChar w:fldCharType="separate"/>
        </w:r>
        <w:r w:rsidR="004366E5">
          <w:rPr>
            <w:noProof/>
            <w:webHidden/>
          </w:rPr>
          <w:t>60</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3999" w:history="1">
        <w:r w:rsidR="004366E5" w:rsidRPr="00875F72">
          <w:rPr>
            <w:rStyle w:val="Hipercze"/>
            <w:rFonts w:ascii="Calibri" w:hAnsi="Calibri"/>
            <w:noProof/>
          </w:rPr>
          <w:t>Działanie FEPM.05.01 Rynek pracy</w:t>
        </w:r>
        <w:r w:rsidR="004366E5">
          <w:rPr>
            <w:noProof/>
            <w:webHidden/>
          </w:rPr>
          <w:tab/>
        </w:r>
        <w:r w:rsidR="004366E5">
          <w:rPr>
            <w:noProof/>
            <w:webHidden/>
          </w:rPr>
          <w:fldChar w:fldCharType="begin"/>
        </w:r>
        <w:r w:rsidR="004366E5">
          <w:rPr>
            <w:noProof/>
            <w:webHidden/>
          </w:rPr>
          <w:instrText xml:space="preserve"> PAGEREF _Toc132713999 \h </w:instrText>
        </w:r>
        <w:r w:rsidR="004366E5">
          <w:rPr>
            <w:noProof/>
            <w:webHidden/>
          </w:rPr>
        </w:r>
        <w:r w:rsidR="004366E5">
          <w:rPr>
            <w:noProof/>
            <w:webHidden/>
          </w:rPr>
          <w:fldChar w:fldCharType="separate"/>
        </w:r>
        <w:r w:rsidR="004366E5">
          <w:rPr>
            <w:noProof/>
            <w:webHidden/>
          </w:rPr>
          <w:t>60</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0" w:history="1">
        <w:r w:rsidR="004366E5" w:rsidRPr="00875F72">
          <w:rPr>
            <w:rStyle w:val="Hipercze"/>
            <w:rFonts w:ascii="Calibri" w:hAnsi="Calibri"/>
            <w:noProof/>
          </w:rPr>
          <w:t>Działanie FEPM.05.02 Rynek pracy – projekty powiatowych urzędów pracy</w:t>
        </w:r>
        <w:r w:rsidR="004366E5">
          <w:rPr>
            <w:noProof/>
            <w:webHidden/>
          </w:rPr>
          <w:tab/>
        </w:r>
        <w:r w:rsidR="004366E5">
          <w:rPr>
            <w:noProof/>
            <w:webHidden/>
          </w:rPr>
          <w:fldChar w:fldCharType="begin"/>
        </w:r>
        <w:r w:rsidR="004366E5">
          <w:rPr>
            <w:noProof/>
            <w:webHidden/>
          </w:rPr>
          <w:instrText xml:space="preserve"> PAGEREF _Toc132714000 \h </w:instrText>
        </w:r>
        <w:r w:rsidR="004366E5">
          <w:rPr>
            <w:noProof/>
            <w:webHidden/>
          </w:rPr>
        </w:r>
        <w:r w:rsidR="004366E5">
          <w:rPr>
            <w:noProof/>
            <w:webHidden/>
          </w:rPr>
          <w:fldChar w:fldCharType="separate"/>
        </w:r>
        <w:r w:rsidR="004366E5">
          <w:rPr>
            <w:noProof/>
            <w:webHidden/>
          </w:rPr>
          <w:t>67</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1" w:history="1">
        <w:r w:rsidR="004366E5" w:rsidRPr="00875F72">
          <w:rPr>
            <w:rStyle w:val="Hipercze"/>
            <w:rFonts w:ascii="Calibri" w:hAnsi="Calibri"/>
            <w:noProof/>
          </w:rPr>
          <w:t>Działanie FEPM.05.07 Edukacja przedszkolna</w:t>
        </w:r>
        <w:r w:rsidR="004366E5">
          <w:rPr>
            <w:noProof/>
            <w:webHidden/>
          </w:rPr>
          <w:tab/>
        </w:r>
        <w:r w:rsidR="004366E5">
          <w:rPr>
            <w:noProof/>
            <w:webHidden/>
          </w:rPr>
          <w:fldChar w:fldCharType="begin"/>
        </w:r>
        <w:r w:rsidR="004366E5">
          <w:rPr>
            <w:noProof/>
            <w:webHidden/>
          </w:rPr>
          <w:instrText xml:space="preserve"> PAGEREF _Toc132714001 \h </w:instrText>
        </w:r>
        <w:r w:rsidR="004366E5">
          <w:rPr>
            <w:noProof/>
            <w:webHidden/>
          </w:rPr>
        </w:r>
        <w:r w:rsidR="004366E5">
          <w:rPr>
            <w:noProof/>
            <w:webHidden/>
          </w:rPr>
          <w:fldChar w:fldCharType="separate"/>
        </w:r>
        <w:r w:rsidR="004366E5">
          <w:rPr>
            <w:noProof/>
            <w:webHidden/>
          </w:rPr>
          <w:t>71</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2" w:history="1">
        <w:r w:rsidR="004366E5" w:rsidRPr="00875F72">
          <w:rPr>
            <w:rStyle w:val="Hipercze"/>
            <w:rFonts w:ascii="Calibri" w:hAnsi="Calibri"/>
            <w:noProof/>
          </w:rPr>
          <w:t>Działanie FEPM.05.08 Edukacja ogólna i zawodowa</w:t>
        </w:r>
        <w:r w:rsidR="004366E5">
          <w:rPr>
            <w:noProof/>
            <w:webHidden/>
          </w:rPr>
          <w:tab/>
        </w:r>
        <w:r w:rsidR="004366E5">
          <w:rPr>
            <w:noProof/>
            <w:webHidden/>
          </w:rPr>
          <w:fldChar w:fldCharType="begin"/>
        </w:r>
        <w:r w:rsidR="004366E5">
          <w:rPr>
            <w:noProof/>
            <w:webHidden/>
          </w:rPr>
          <w:instrText xml:space="preserve"> PAGEREF _Toc132714002 \h </w:instrText>
        </w:r>
        <w:r w:rsidR="004366E5">
          <w:rPr>
            <w:noProof/>
            <w:webHidden/>
          </w:rPr>
        </w:r>
        <w:r w:rsidR="004366E5">
          <w:rPr>
            <w:noProof/>
            <w:webHidden/>
          </w:rPr>
          <w:fldChar w:fldCharType="separate"/>
        </w:r>
        <w:r w:rsidR="004366E5">
          <w:rPr>
            <w:noProof/>
            <w:webHidden/>
          </w:rPr>
          <w:t>78</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3" w:history="1">
        <w:r w:rsidR="004366E5" w:rsidRPr="00875F72">
          <w:rPr>
            <w:rStyle w:val="Hipercze"/>
            <w:rFonts w:ascii="Calibri" w:hAnsi="Calibri"/>
            <w:noProof/>
          </w:rPr>
          <w:t>Działanie FEPM.05.11 Aktywne włączenie społeczne</w:t>
        </w:r>
        <w:r w:rsidR="004366E5">
          <w:rPr>
            <w:noProof/>
            <w:webHidden/>
          </w:rPr>
          <w:tab/>
        </w:r>
        <w:r w:rsidR="004366E5">
          <w:rPr>
            <w:noProof/>
            <w:webHidden/>
          </w:rPr>
          <w:fldChar w:fldCharType="begin"/>
        </w:r>
        <w:r w:rsidR="004366E5">
          <w:rPr>
            <w:noProof/>
            <w:webHidden/>
          </w:rPr>
          <w:instrText xml:space="preserve"> PAGEREF _Toc132714003 \h </w:instrText>
        </w:r>
        <w:r w:rsidR="004366E5">
          <w:rPr>
            <w:noProof/>
            <w:webHidden/>
          </w:rPr>
        </w:r>
        <w:r w:rsidR="004366E5">
          <w:rPr>
            <w:noProof/>
            <w:webHidden/>
          </w:rPr>
          <w:fldChar w:fldCharType="separate"/>
        </w:r>
        <w:r w:rsidR="004366E5">
          <w:rPr>
            <w:noProof/>
            <w:webHidden/>
          </w:rPr>
          <w:t>87</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4" w:history="1">
        <w:r w:rsidR="004366E5" w:rsidRPr="00875F72">
          <w:rPr>
            <w:rStyle w:val="Hipercze"/>
            <w:rFonts w:ascii="Calibri" w:hAnsi="Calibri"/>
            <w:noProof/>
          </w:rPr>
          <w:t>Działanie FEPM.05.13 Rozwój ekonomii społecznej</w:t>
        </w:r>
        <w:r w:rsidR="004366E5">
          <w:rPr>
            <w:noProof/>
            <w:webHidden/>
          </w:rPr>
          <w:tab/>
        </w:r>
        <w:r w:rsidR="004366E5">
          <w:rPr>
            <w:noProof/>
            <w:webHidden/>
          </w:rPr>
          <w:fldChar w:fldCharType="begin"/>
        </w:r>
        <w:r w:rsidR="004366E5">
          <w:rPr>
            <w:noProof/>
            <w:webHidden/>
          </w:rPr>
          <w:instrText xml:space="preserve"> PAGEREF _Toc132714004 \h </w:instrText>
        </w:r>
        <w:r w:rsidR="004366E5">
          <w:rPr>
            <w:noProof/>
            <w:webHidden/>
          </w:rPr>
        </w:r>
        <w:r w:rsidR="004366E5">
          <w:rPr>
            <w:noProof/>
            <w:webHidden/>
          </w:rPr>
          <w:fldChar w:fldCharType="separate"/>
        </w:r>
        <w:r w:rsidR="004366E5">
          <w:rPr>
            <w:noProof/>
            <w:webHidden/>
          </w:rPr>
          <w:t>94</w:t>
        </w:r>
        <w:r w:rsidR="004366E5">
          <w:rPr>
            <w:noProof/>
            <w:webHidden/>
          </w:rPr>
          <w:fldChar w:fldCharType="end"/>
        </w:r>
      </w:hyperlink>
    </w:p>
    <w:p w:rsidR="004366E5" w:rsidRDefault="00DC3A2E">
      <w:pPr>
        <w:pStyle w:val="Spistreci2"/>
        <w:tabs>
          <w:tab w:val="right" w:leader="dot" w:pos="9396"/>
        </w:tabs>
        <w:rPr>
          <w:rFonts w:eastAsiaTheme="minorEastAsia" w:cstheme="minorBidi"/>
          <w:noProof/>
          <w:sz w:val="22"/>
          <w:szCs w:val="22"/>
        </w:rPr>
      </w:pPr>
      <w:hyperlink w:anchor="_Toc132714005" w:history="1">
        <w:r w:rsidR="004366E5" w:rsidRPr="00875F72">
          <w:rPr>
            <w:rStyle w:val="Hipercze"/>
            <w:rFonts w:ascii="Calibri" w:hAnsi="Calibri"/>
            <w:noProof/>
          </w:rPr>
          <w:t>Priorytet FEPM.06 Fundusze europejskie dla silnego społecznie Pomorza (EFRR)</w:t>
        </w:r>
        <w:r w:rsidR="004366E5">
          <w:rPr>
            <w:noProof/>
            <w:webHidden/>
          </w:rPr>
          <w:tab/>
        </w:r>
        <w:r w:rsidR="004366E5">
          <w:rPr>
            <w:noProof/>
            <w:webHidden/>
          </w:rPr>
          <w:fldChar w:fldCharType="begin"/>
        </w:r>
        <w:r w:rsidR="004366E5">
          <w:rPr>
            <w:noProof/>
            <w:webHidden/>
          </w:rPr>
          <w:instrText xml:space="preserve"> PAGEREF _Toc132714005 \h </w:instrText>
        </w:r>
        <w:r w:rsidR="004366E5">
          <w:rPr>
            <w:noProof/>
            <w:webHidden/>
          </w:rPr>
        </w:r>
        <w:r w:rsidR="004366E5">
          <w:rPr>
            <w:noProof/>
            <w:webHidden/>
          </w:rPr>
          <w:fldChar w:fldCharType="separate"/>
        </w:r>
        <w:r w:rsidR="004366E5">
          <w:rPr>
            <w:noProof/>
            <w:webHidden/>
          </w:rPr>
          <w:t>99</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6" w:history="1">
        <w:r w:rsidR="004366E5" w:rsidRPr="00875F72">
          <w:rPr>
            <w:rStyle w:val="Hipercze"/>
            <w:rFonts w:ascii="Calibri" w:hAnsi="Calibri"/>
            <w:noProof/>
          </w:rPr>
          <w:t>Działanie FEPM.06.01 Infrastruktura edukacji przedszkolnej</w:t>
        </w:r>
        <w:r w:rsidR="004366E5">
          <w:rPr>
            <w:noProof/>
            <w:webHidden/>
          </w:rPr>
          <w:tab/>
        </w:r>
        <w:r w:rsidR="004366E5">
          <w:rPr>
            <w:noProof/>
            <w:webHidden/>
          </w:rPr>
          <w:fldChar w:fldCharType="begin"/>
        </w:r>
        <w:r w:rsidR="004366E5">
          <w:rPr>
            <w:noProof/>
            <w:webHidden/>
          </w:rPr>
          <w:instrText xml:space="preserve"> PAGEREF _Toc132714006 \h </w:instrText>
        </w:r>
        <w:r w:rsidR="004366E5">
          <w:rPr>
            <w:noProof/>
            <w:webHidden/>
          </w:rPr>
        </w:r>
        <w:r w:rsidR="004366E5">
          <w:rPr>
            <w:noProof/>
            <w:webHidden/>
          </w:rPr>
          <w:fldChar w:fldCharType="separate"/>
        </w:r>
        <w:r w:rsidR="004366E5">
          <w:rPr>
            <w:noProof/>
            <w:webHidden/>
          </w:rPr>
          <w:t>100</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7" w:history="1">
        <w:r w:rsidR="004366E5" w:rsidRPr="00875F72">
          <w:rPr>
            <w:rStyle w:val="Hipercze"/>
            <w:rFonts w:ascii="Calibri" w:hAnsi="Calibri"/>
            <w:noProof/>
          </w:rPr>
          <w:t>Działanie FEPM.06.02 Infrastruktura edukacji włączającej i zawodowej</w:t>
        </w:r>
        <w:r w:rsidR="004366E5">
          <w:rPr>
            <w:noProof/>
            <w:webHidden/>
          </w:rPr>
          <w:tab/>
        </w:r>
        <w:r w:rsidR="004366E5">
          <w:rPr>
            <w:noProof/>
            <w:webHidden/>
          </w:rPr>
          <w:fldChar w:fldCharType="begin"/>
        </w:r>
        <w:r w:rsidR="004366E5">
          <w:rPr>
            <w:noProof/>
            <w:webHidden/>
          </w:rPr>
          <w:instrText xml:space="preserve"> PAGEREF _Toc132714007 \h </w:instrText>
        </w:r>
        <w:r w:rsidR="004366E5">
          <w:rPr>
            <w:noProof/>
            <w:webHidden/>
          </w:rPr>
        </w:r>
        <w:r w:rsidR="004366E5">
          <w:rPr>
            <w:noProof/>
            <w:webHidden/>
          </w:rPr>
          <w:fldChar w:fldCharType="separate"/>
        </w:r>
        <w:r w:rsidR="004366E5">
          <w:rPr>
            <w:noProof/>
            <w:webHidden/>
          </w:rPr>
          <w:t>105</w:t>
        </w:r>
        <w:r w:rsidR="004366E5">
          <w:rPr>
            <w:noProof/>
            <w:webHidden/>
          </w:rPr>
          <w:fldChar w:fldCharType="end"/>
        </w:r>
      </w:hyperlink>
    </w:p>
    <w:p w:rsidR="004366E5" w:rsidRDefault="00DC3A2E">
      <w:pPr>
        <w:pStyle w:val="Spistreci3"/>
        <w:tabs>
          <w:tab w:val="right" w:leader="dot" w:pos="9396"/>
        </w:tabs>
        <w:rPr>
          <w:rFonts w:eastAsiaTheme="minorEastAsia" w:cstheme="minorBidi"/>
          <w:noProof/>
          <w:sz w:val="22"/>
          <w:szCs w:val="22"/>
        </w:rPr>
      </w:pPr>
      <w:hyperlink w:anchor="_Toc132714008" w:history="1">
        <w:r w:rsidR="004366E5" w:rsidRPr="00875F72">
          <w:rPr>
            <w:rStyle w:val="Hipercze"/>
            <w:rFonts w:ascii="Calibri" w:hAnsi="Calibri"/>
            <w:noProof/>
          </w:rPr>
          <w:t>Działanie FEPM.06.10 Infrastruktura kultury</w:t>
        </w:r>
        <w:r w:rsidR="004366E5">
          <w:rPr>
            <w:noProof/>
            <w:webHidden/>
          </w:rPr>
          <w:tab/>
        </w:r>
        <w:r w:rsidR="004366E5">
          <w:rPr>
            <w:noProof/>
            <w:webHidden/>
          </w:rPr>
          <w:fldChar w:fldCharType="begin"/>
        </w:r>
        <w:r w:rsidR="004366E5">
          <w:rPr>
            <w:noProof/>
            <w:webHidden/>
          </w:rPr>
          <w:instrText xml:space="preserve"> PAGEREF _Toc132714008 \h </w:instrText>
        </w:r>
        <w:r w:rsidR="004366E5">
          <w:rPr>
            <w:noProof/>
            <w:webHidden/>
          </w:rPr>
        </w:r>
        <w:r w:rsidR="004366E5">
          <w:rPr>
            <w:noProof/>
            <w:webHidden/>
          </w:rPr>
          <w:fldChar w:fldCharType="separate"/>
        </w:r>
        <w:r w:rsidR="004366E5">
          <w:rPr>
            <w:noProof/>
            <w:webHidden/>
          </w:rPr>
          <w:t>112</w:t>
        </w:r>
        <w:r w:rsidR="004366E5">
          <w:rPr>
            <w:noProof/>
            <w:webHidden/>
          </w:rPr>
          <w:fldChar w:fldCharType="end"/>
        </w:r>
      </w:hyperlink>
    </w:p>
    <w:p w:rsidR="00202C2D" w:rsidRDefault="004366E5">
      <w:pPr>
        <w:rPr>
          <w:b/>
          <w:i/>
          <w:sz w:val="28"/>
        </w:rPr>
      </w:pPr>
      <w:r>
        <w:fldChar w:fldCharType="end"/>
      </w:r>
      <w:r>
        <w:br/>
      </w:r>
      <w:r>
        <w:rPr>
          <w:sz w:val="28"/>
        </w:rPr>
        <w:t>II Załączniki</w:t>
      </w:r>
    </w:p>
    <w:p w:rsidR="00202C2D" w:rsidRDefault="004366E5">
      <w:pPr>
        <w:rPr>
          <w:sz w:val="28"/>
        </w:rPr>
      </w:pPr>
      <w:r>
        <w:rPr>
          <w:sz w:val="28"/>
        </w:rPr>
        <w:t>Indykatywna tabela finansowa</w:t>
      </w:r>
    </w:p>
    <w:p w:rsidR="00202C2D" w:rsidRDefault="004366E5">
      <w:pPr>
        <w:rPr>
          <w:sz w:val="28"/>
        </w:rPr>
      </w:pPr>
      <w:r>
        <w:rPr>
          <w:sz w:val="28"/>
        </w:rPr>
        <w:t>Indykatywna tabela finansowa w podziale na cele polityki, cele szczegółowe i zakres interwencji</w:t>
      </w:r>
    </w:p>
    <w:p w:rsidR="00202C2D" w:rsidRDefault="00202C2D">
      <w:pPr>
        <w:rPr>
          <w:sz w:val="28"/>
          <w:highlight w:val="magenta"/>
        </w:rPr>
      </w:pPr>
    </w:p>
    <w:p w:rsidR="00202C2D" w:rsidRDefault="004366E5">
      <w:pPr>
        <w:rPr>
          <w:b/>
          <w:i/>
          <w:sz w:val="44"/>
          <w:highlight w:val="magenta"/>
        </w:rPr>
      </w:pPr>
      <w:r>
        <w:br w:type="page"/>
      </w:r>
    </w:p>
    <w:p w:rsidR="00202C2D" w:rsidRDefault="004366E5">
      <w:pPr>
        <w:pStyle w:val="Nagwek1"/>
        <w:rPr>
          <w:rFonts w:ascii="Calibri" w:hAnsi="Calibri" w:cs="Calibri"/>
        </w:rPr>
      </w:pPr>
      <w:bookmarkStart w:id="1" w:name="_Toc76643858"/>
      <w:bookmarkStart w:id="2" w:name="_Toc132713987"/>
      <w:r>
        <w:rPr>
          <w:rFonts w:ascii="Calibri" w:hAnsi="Calibri" w:cs="Calibri"/>
        </w:rPr>
        <w:lastRenderedPageBreak/>
        <w:t>I Informacje na temat Priorytetów i Działań</w:t>
      </w:r>
      <w:bookmarkEnd w:id="1"/>
      <w:bookmarkEnd w:id="2"/>
    </w:p>
    <w:p w:rsidR="00202C2D" w:rsidRDefault="00202C2D">
      <w:pPr>
        <w:rPr>
          <w:rFonts w:ascii="Calibri" w:hAnsi="Calibri"/>
        </w:rPr>
      </w:pPr>
    </w:p>
    <w:p w:rsidR="00202C2D" w:rsidRDefault="00202C2D">
      <w:pPr>
        <w:rPr>
          <w:rFonts w:ascii="Calibri" w:hAnsi="Calibri"/>
        </w:rPr>
      </w:pPr>
    </w:p>
    <w:p w:rsidR="00202C2D" w:rsidRDefault="00202C2D">
      <w:pPr>
        <w:rPr>
          <w:b/>
          <w:i/>
          <w:sz w:val="44"/>
          <w:highlight w:val="magenta"/>
        </w:rPr>
      </w:pPr>
    </w:p>
    <w:p w:rsidR="00202C2D" w:rsidRDefault="004366E5">
      <w:pPr>
        <w:pStyle w:val="Nagwek2"/>
        <w:rPr>
          <w:rFonts w:ascii="Calibri" w:hAnsi="Calibri" w:cs="Calibri"/>
          <w:i w:val="0"/>
          <w:sz w:val="32"/>
        </w:rPr>
      </w:pPr>
      <w:bookmarkStart w:id="3" w:name="_Toc132713988"/>
      <w:r>
        <w:rPr>
          <w:rFonts w:ascii="Calibri" w:hAnsi="Calibri" w:cs="Calibri"/>
          <w:i w:val="0"/>
          <w:sz w:val="32"/>
        </w:rPr>
        <w:t>Priorytet FEPM.02 Fundusze europejskie dla zielonego Pomorza</w:t>
      </w:r>
      <w:bookmarkEnd w:id="3"/>
    </w:p>
    <w:p w:rsidR="00202C2D" w:rsidRDefault="00202C2D">
      <w:pPr>
        <w:rPr>
          <w:rFonts w:ascii="Calibri" w:hAnsi="Calibri"/>
          <w:sz w:val="32"/>
        </w:rPr>
      </w:pPr>
    </w:p>
    <w:p w:rsidR="00202C2D" w:rsidRDefault="004366E5">
      <w:pPr>
        <w:rPr>
          <w:b/>
          <w:sz w:val="28"/>
        </w:rPr>
      </w:pPr>
      <w:r>
        <w:rPr>
          <w:b/>
          <w:sz w:val="28"/>
        </w:rPr>
        <w:t>Instytucja Zarządzająca</w:t>
      </w:r>
    </w:p>
    <w:p w:rsidR="00202C2D" w:rsidRDefault="004366E5">
      <w:pPr>
        <w:rPr>
          <w:b/>
          <w:sz w:val="28"/>
        </w:rPr>
      </w:pPr>
      <w:r>
        <w:rPr>
          <w:sz w:val="28"/>
        </w:rPr>
        <w:t>Urząd Marszałkowski Województwa Pomorskiego</w:t>
      </w:r>
    </w:p>
    <w:p w:rsidR="00202C2D" w:rsidRDefault="004366E5">
      <w:pPr>
        <w:rPr>
          <w:b/>
          <w:sz w:val="28"/>
        </w:rPr>
      </w:pPr>
      <w:r>
        <w:rPr>
          <w:b/>
          <w:sz w:val="28"/>
        </w:rPr>
        <w:t>Fundusz</w:t>
      </w:r>
    </w:p>
    <w:p w:rsidR="00202C2D" w:rsidRDefault="004366E5">
      <w:pPr>
        <w:rPr>
          <w:b/>
          <w:sz w:val="28"/>
        </w:rPr>
      </w:pPr>
      <w:r>
        <w:rPr>
          <w:sz w:val="28"/>
        </w:rPr>
        <w:t>Europejski Fundusz Rozwoju Regionalnego</w:t>
      </w:r>
    </w:p>
    <w:p w:rsidR="00202C2D" w:rsidRDefault="004366E5">
      <w:pPr>
        <w:rPr>
          <w:b/>
          <w:sz w:val="28"/>
        </w:rPr>
      </w:pPr>
      <w:r>
        <w:rPr>
          <w:b/>
          <w:sz w:val="28"/>
        </w:rPr>
        <w:t>Cel Polityki</w:t>
      </w:r>
    </w:p>
    <w:p w:rsidR="00202C2D" w:rsidRDefault="004366E5">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202C2D" w:rsidRDefault="004366E5">
      <w:pPr>
        <w:rPr>
          <w:b/>
          <w:sz w:val="28"/>
        </w:rPr>
      </w:pPr>
      <w:r>
        <w:rPr>
          <w:b/>
          <w:sz w:val="28"/>
        </w:rPr>
        <w:t>Miejsce realizacji</w:t>
      </w:r>
    </w:p>
    <w:p w:rsidR="00202C2D" w:rsidRDefault="004366E5">
      <w:pPr>
        <w:rPr>
          <w:b/>
          <w:sz w:val="28"/>
        </w:rPr>
      </w:pPr>
      <w:r>
        <w:rPr>
          <w:sz w:val="28"/>
        </w:rPr>
        <w:t>POMORSKIE</w:t>
      </w:r>
    </w:p>
    <w:p w:rsidR="00202C2D" w:rsidRDefault="004366E5">
      <w:pPr>
        <w:rPr>
          <w:b/>
          <w:sz w:val="28"/>
        </w:rPr>
      </w:pPr>
      <w:r>
        <w:rPr>
          <w:b/>
          <w:sz w:val="28"/>
        </w:rPr>
        <w:t>Wysokość alokacji UE (EUR)</w:t>
      </w:r>
    </w:p>
    <w:p w:rsidR="00202C2D" w:rsidRDefault="004366E5">
      <w:pPr>
        <w:rPr>
          <w:b/>
          <w:sz w:val="28"/>
        </w:rPr>
      </w:pPr>
      <w:r>
        <w:rPr>
          <w:sz w:val="28"/>
        </w:rPr>
        <w:t>342 886 142,00</w:t>
      </w:r>
    </w:p>
    <w:p w:rsidR="00202C2D" w:rsidRDefault="00202C2D">
      <w:pPr>
        <w:rPr>
          <w:b/>
          <w:sz w:val="28"/>
        </w:rPr>
      </w:pPr>
    </w:p>
    <w:p w:rsidR="00202C2D" w:rsidRDefault="004366E5">
      <w:pPr>
        <w:pStyle w:val="Nagwek3"/>
        <w:rPr>
          <w:rFonts w:ascii="Calibri" w:hAnsi="Calibri" w:cs="Calibri"/>
          <w:sz w:val="32"/>
        </w:rPr>
      </w:pPr>
      <w:bookmarkStart w:id="4" w:name="_Toc132713989"/>
      <w:r>
        <w:rPr>
          <w:rFonts w:ascii="Calibri" w:hAnsi="Calibri" w:cs="Calibri"/>
          <w:sz w:val="32"/>
        </w:rPr>
        <w:t>Działanie FEPM.02.12 Zrównoważona gospodarka wodna</w:t>
      </w:r>
      <w:bookmarkEnd w:id="4"/>
    </w:p>
    <w:p w:rsidR="00202C2D" w:rsidRDefault="00202C2D">
      <w:pPr>
        <w:rPr>
          <w:rFonts w:ascii="Calibri" w:hAnsi="Calibri"/>
          <w:sz w:val="32"/>
        </w:rPr>
      </w:pPr>
    </w:p>
    <w:p w:rsidR="00202C2D" w:rsidRDefault="004366E5">
      <w:pPr>
        <w:rPr>
          <w:b/>
          <w:sz w:val="28"/>
        </w:rPr>
      </w:pPr>
      <w:r>
        <w:rPr>
          <w:b/>
          <w:sz w:val="28"/>
        </w:rPr>
        <w:lastRenderedPageBreak/>
        <w:t>Cel szczegółowy</w:t>
      </w:r>
    </w:p>
    <w:p w:rsidR="00202C2D" w:rsidRDefault="004366E5">
      <w:pPr>
        <w:rPr>
          <w:b/>
          <w:sz w:val="28"/>
        </w:rPr>
      </w:pPr>
      <w:r>
        <w:rPr>
          <w:sz w:val="28"/>
        </w:rPr>
        <w:t>EFRR/FS.CP2.V - Wspieranie dostępu do wody oraz zrównoważonej gospodarki wodnej</w:t>
      </w:r>
    </w:p>
    <w:p w:rsidR="00202C2D" w:rsidRDefault="004366E5">
      <w:pPr>
        <w:rPr>
          <w:b/>
          <w:sz w:val="28"/>
        </w:rPr>
      </w:pPr>
      <w:r>
        <w:rPr>
          <w:b/>
          <w:sz w:val="28"/>
        </w:rPr>
        <w:t>Wysokość alokacji UE (EUR)</w:t>
      </w:r>
    </w:p>
    <w:p w:rsidR="00202C2D" w:rsidRDefault="004366E5">
      <w:pPr>
        <w:rPr>
          <w:b/>
          <w:sz w:val="28"/>
        </w:rPr>
      </w:pPr>
      <w:r>
        <w:rPr>
          <w:sz w:val="28"/>
        </w:rPr>
        <w:t>21 253 625,00</w:t>
      </w:r>
    </w:p>
    <w:p w:rsidR="00202C2D" w:rsidRDefault="004366E5">
      <w:pPr>
        <w:rPr>
          <w:b/>
          <w:sz w:val="28"/>
        </w:rPr>
      </w:pPr>
      <w:r>
        <w:rPr>
          <w:b/>
          <w:sz w:val="28"/>
        </w:rPr>
        <w:t>Zakres interwencji</w:t>
      </w:r>
    </w:p>
    <w:p w:rsidR="00202C2D" w:rsidRDefault="004366E5">
      <w:pPr>
        <w:rPr>
          <w:b/>
          <w:sz w:val="28"/>
        </w:rPr>
      </w:pPr>
      <w:r>
        <w:rPr>
          <w:sz w:val="28"/>
        </w:rPr>
        <w:t>062 - Dostarczanie wody do spożycia przez ludzi (infrastruktura do celów ujęcia, uzdatniania, magazynowania i dystrybucji, działania na rzecz efektywności, zaopatrzenie w wodę do spożycia), 065 - Odprowadzanie i oczyszczanie ścieków</w:t>
      </w:r>
    </w:p>
    <w:p w:rsidR="00202C2D" w:rsidRDefault="004366E5">
      <w:pPr>
        <w:rPr>
          <w:b/>
          <w:sz w:val="28"/>
        </w:rPr>
      </w:pPr>
      <w:r>
        <w:rPr>
          <w:b/>
          <w:sz w:val="28"/>
        </w:rPr>
        <w:t>Opis działania</w:t>
      </w:r>
    </w:p>
    <w:p w:rsidR="00202C2D" w:rsidRDefault="004366E5">
      <w:pPr>
        <w:rPr>
          <w:b/>
          <w:sz w:val="28"/>
        </w:rPr>
      </w:pPr>
      <w:r>
        <w:rPr>
          <w:sz w:val="28"/>
        </w:rP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p>
    <w:p w:rsidR="00202C2D" w:rsidRDefault="004366E5">
      <w:pPr>
        <w:rPr>
          <w:b/>
          <w:sz w:val="28"/>
        </w:rPr>
      </w:pPr>
      <w:r>
        <w:rPr>
          <w:sz w:val="28"/>
        </w:rPr>
        <w:t>W Działaniu wspierane będą projekty związane z gospodarką ściekową i zaopatrzeniem w wodę pitną.</w:t>
      </w:r>
    </w:p>
    <w:p w:rsidR="00202C2D" w:rsidRDefault="004366E5">
      <w:pPr>
        <w:rPr>
          <w:b/>
          <w:sz w:val="28"/>
        </w:rPr>
      </w:pPr>
      <w:r>
        <w:rPr>
          <w:sz w:val="28"/>
        </w:rPr>
        <w:t>A. Projekty dotyczące gospodarki ściekowej:</w:t>
      </w:r>
    </w:p>
    <w:p w:rsidR="00202C2D" w:rsidRDefault="004366E5">
      <w:pPr>
        <w:rPr>
          <w:b/>
          <w:sz w:val="28"/>
        </w:rPr>
      </w:pPr>
      <w:r>
        <w:rPr>
          <w:sz w:val="28"/>
        </w:rPr>
        <w:t>Typy projektów:</w:t>
      </w:r>
    </w:p>
    <w:p w:rsidR="00202C2D" w:rsidRDefault="004366E5">
      <w:pPr>
        <w:rPr>
          <w:b/>
          <w:sz w:val="28"/>
        </w:rPr>
      </w:pPr>
      <w:r>
        <w:rPr>
          <w:sz w:val="28"/>
        </w:rPr>
        <w:t xml:space="preserve">1. budowa, rozbudowa i przebudowa sieci kanalizacji zbiorczych; </w:t>
      </w:r>
    </w:p>
    <w:p w:rsidR="00202C2D" w:rsidRDefault="004366E5">
      <w:pPr>
        <w:rPr>
          <w:b/>
          <w:sz w:val="28"/>
        </w:rPr>
      </w:pPr>
      <w:r>
        <w:rPr>
          <w:sz w:val="28"/>
        </w:rPr>
        <w:t>2. budowa, rozbudowa i przebudowa oczyszczalni ścieków;</w:t>
      </w:r>
    </w:p>
    <w:p w:rsidR="00202C2D" w:rsidRDefault="004366E5">
      <w:pPr>
        <w:rPr>
          <w:b/>
          <w:sz w:val="28"/>
        </w:rPr>
      </w:pPr>
      <w:r>
        <w:rPr>
          <w:sz w:val="28"/>
        </w:rPr>
        <w:t>3. budowa, rozbudowa infrastruktury zagospodarowania osadów ściekowych - wyłącznie w powiązaniu z drugim typem projektu.</w:t>
      </w:r>
    </w:p>
    <w:p w:rsidR="00202C2D" w:rsidRDefault="004366E5">
      <w:pPr>
        <w:rPr>
          <w:b/>
          <w:sz w:val="28"/>
        </w:rPr>
      </w:pPr>
      <w:r>
        <w:rPr>
          <w:sz w:val="28"/>
        </w:rPr>
        <w:t>Uzupełniająco, jako element projektu możliwe będą również:</w:t>
      </w:r>
    </w:p>
    <w:p w:rsidR="00202C2D" w:rsidRDefault="004366E5">
      <w:pPr>
        <w:rPr>
          <w:b/>
          <w:sz w:val="28"/>
        </w:rPr>
      </w:pPr>
      <w:r>
        <w:rPr>
          <w:sz w:val="28"/>
        </w:rPr>
        <w:lastRenderedPageBreak/>
        <w:t>a. budowa sieci wodociągowej – pod warunkiem, że wydatki na ten cel nie mogą przekroczyć  25% kosztów kwalifikowalnych projektu obejmującego swoim zakresem sieć kanalizacyjną i wodociągową;</w:t>
      </w:r>
    </w:p>
    <w:p w:rsidR="00202C2D" w:rsidRDefault="004366E5">
      <w:pPr>
        <w:rPr>
          <w:b/>
          <w:sz w:val="28"/>
        </w:rPr>
      </w:pPr>
      <w:r>
        <w:rPr>
          <w:sz w:val="28"/>
        </w:rPr>
        <w:t>b. wdrażanie rozwiązań z zakresu gospodarki o obiegu zamkniętym;</w:t>
      </w:r>
    </w:p>
    <w:p w:rsidR="00202C2D" w:rsidRDefault="004366E5">
      <w:pPr>
        <w:rPr>
          <w:b/>
          <w:sz w:val="28"/>
        </w:rPr>
      </w:pPr>
      <w:r>
        <w:rPr>
          <w:sz w:val="28"/>
        </w:rPr>
        <w:t>c. działania sprzyjające adaptacji do zmian klimatu, w szczególności poprzez zastosowanie błękitno-zielonej infrastruktury.</w:t>
      </w:r>
    </w:p>
    <w:p w:rsidR="00202C2D" w:rsidRDefault="004366E5">
      <w:pPr>
        <w:rPr>
          <w:b/>
          <w:sz w:val="28"/>
        </w:rPr>
      </w:pPr>
      <w:r>
        <w:rPr>
          <w:sz w:val="28"/>
        </w:rPr>
        <w:t xml:space="preserve">Najważniejsze warunki realizacji projektów: </w:t>
      </w:r>
    </w:p>
    <w:p w:rsidR="00202C2D" w:rsidRDefault="004366E5">
      <w:pPr>
        <w:rPr>
          <w:b/>
          <w:sz w:val="28"/>
        </w:rPr>
      </w:pPr>
      <w:r>
        <w:rPr>
          <w:sz w:val="28"/>
        </w:rPr>
        <w:t>1. Priorytetowo wpierane będą przedsięwzięcia w aglomeracjach o wielkości od co najmniej 10 tys. RLM (Równoważna liczba mieszkańców) do poniżej 15 tys. RLM, które nie osiągnęły zgodności z wymaganiami dyrektywy 91/271/EWG;</w:t>
      </w:r>
    </w:p>
    <w:p w:rsidR="00202C2D" w:rsidRDefault="004366E5">
      <w:pPr>
        <w:rPr>
          <w:b/>
          <w:sz w:val="28"/>
        </w:rPr>
      </w:pPr>
      <w:r>
        <w:rPr>
          <w:sz w:val="28"/>
        </w:rPr>
        <w:t>2. Aglomeracje od co najmniej 2 tys. RLM do poniżej 10 tys. RLM, które nie osiągnęły zgodności z wymaganiami dyrektywy 91/271/EWG, wpierane będą w drugiej kolejności (drugim naborze) pod warunkiem dostępności alokacji;</w:t>
      </w:r>
    </w:p>
    <w:p w:rsidR="00202C2D" w:rsidRDefault="004366E5">
      <w:pPr>
        <w:rPr>
          <w:b/>
          <w:sz w:val="28"/>
        </w:rPr>
      </w:pPr>
      <w:r>
        <w:rPr>
          <w:sz w:val="28"/>
        </w:rP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Wykaz warunków zgodności z dyrektywą 91/271/EWG, wskazany jest w ww. załączniku nr 3 KPOŚK, w kolumnach 31, 32, 33. Wsparciem objęte będą działania niezbędne do spełnienia wymagań dyrektywy 91/271/EWG, które otrzymały notę „0”;</w:t>
      </w:r>
    </w:p>
    <w:p w:rsidR="00202C2D" w:rsidRDefault="004366E5">
      <w:pPr>
        <w:rPr>
          <w:b/>
          <w:sz w:val="28"/>
        </w:rPr>
      </w:pPr>
      <w:r>
        <w:rPr>
          <w:sz w:val="28"/>
        </w:rPr>
        <w:t>4. Inwestycje w zagospodarowanie osadów ściekowych, jako element projektu dotyczącego oczyszczalni ścieków, powinny stanowić mniejszą część jego kosztów kwalifikowalnych.</w:t>
      </w:r>
    </w:p>
    <w:p w:rsidR="00202C2D" w:rsidRDefault="004366E5">
      <w:pPr>
        <w:rPr>
          <w:b/>
          <w:sz w:val="28"/>
        </w:rPr>
      </w:pPr>
      <w:r>
        <w:rPr>
          <w:sz w:val="28"/>
        </w:rPr>
        <w:t xml:space="preserve">5. Podatek VAT w projekcie jest niekwalifikowalny.   </w:t>
      </w:r>
    </w:p>
    <w:p w:rsidR="00202C2D" w:rsidRDefault="004366E5">
      <w:pPr>
        <w:rPr>
          <w:b/>
          <w:sz w:val="28"/>
        </w:rPr>
      </w:pPr>
      <w:r>
        <w:rPr>
          <w:sz w:val="28"/>
        </w:rPr>
        <w:t>Preferowane będą projekty:</w:t>
      </w:r>
    </w:p>
    <w:p w:rsidR="00202C2D" w:rsidRDefault="004366E5">
      <w:pPr>
        <w:rPr>
          <w:b/>
          <w:sz w:val="28"/>
        </w:rPr>
      </w:pPr>
      <w:r>
        <w:rPr>
          <w:sz w:val="28"/>
        </w:rPr>
        <w:lastRenderedPageBreak/>
        <w:t>1. całościowo rozwiązujące problemy w zakresie wyposażenia aglomeracji w system sieci kanalizacyjnej oraz właściwego poziomu oczyszczania ścieków komunalnych na obszarze danej aglomeracji;</w:t>
      </w:r>
    </w:p>
    <w:p w:rsidR="00202C2D" w:rsidRDefault="004366E5">
      <w:pPr>
        <w:rPr>
          <w:b/>
          <w:sz w:val="28"/>
        </w:rPr>
      </w:pPr>
      <w:r>
        <w:rPr>
          <w:sz w:val="28"/>
        </w:rPr>
        <w:t>2. uzgodnione w ramach Zintegrowanych Porozumień Terytorialnych.</w:t>
      </w:r>
    </w:p>
    <w:p w:rsidR="00202C2D" w:rsidRDefault="004366E5">
      <w:pPr>
        <w:rPr>
          <w:b/>
          <w:sz w:val="28"/>
        </w:rPr>
      </w:pPr>
      <w:r>
        <w:rPr>
          <w:sz w:val="28"/>
        </w:rPr>
        <w:t>B. Projekty dotyczące zaopatrzenia w wodę pitną:</w:t>
      </w:r>
    </w:p>
    <w:p w:rsidR="00202C2D" w:rsidRDefault="004366E5">
      <w:pPr>
        <w:rPr>
          <w:b/>
          <w:sz w:val="28"/>
        </w:rPr>
      </w:pPr>
      <w:r>
        <w:rPr>
          <w:sz w:val="28"/>
        </w:rPr>
        <w:t>Typy projektów:</w:t>
      </w:r>
    </w:p>
    <w:p w:rsidR="00202C2D" w:rsidRDefault="004366E5">
      <w:pPr>
        <w:rPr>
          <w:b/>
          <w:sz w:val="28"/>
        </w:rPr>
      </w:pPr>
      <w:r>
        <w:rPr>
          <w:sz w:val="28"/>
        </w:rPr>
        <w:t xml:space="preserve">1. budowa, rozbudowa lub przebudowa systemów poboru, uzdatniania i magazynowania wody mających na celu ograniczanie strat wody oraz rozwój technologii </w:t>
      </w:r>
      <w:proofErr w:type="spellStart"/>
      <w:r>
        <w:rPr>
          <w:sz w:val="28"/>
        </w:rPr>
        <w:t>wodooszczędnych</w:t>
      </w:r>
      <w:proofErr w:type="spellEnd"/>
      <w:r>
        <w:rPr>
          <w:sz w:val="28"/>
        </w:rPr>
        <w:t>;</w:t>
      </w:r>
    </w:p>
    <w:p w:rsidR="00202C2D" w:rsidRDefault="004366E5">
      <w:pPr>
        <w:rPr>
          <w:b/>
          <w:sz w:val="28"/>
        </w:rPr>
      </w:pPr>
      <w:r>
        <w:rPr>
          <w:sz w:val="28"/>
        </w:rPr>
        <w:t>2. tworzenie i rozbudowa systemów monitoringu i oceny jakości wód powierzchniowych i podziemnych przeznaczonych do spożycia oraz prognozowania zagrożeń w wodach podziemnych przeznaczonych do spożycia;</w:t>
      </w:r>
    </w:p>
    <w:p w:rsidR="00202C2D" w:rsidRDefault="004366E5">
      <w:pPr>
        <w:rPr>
          <w:b/>
          <w:sz w:val="28"/>
        </w:rPr>
      </w:pPr>
      <w:r>
        <w:rPr>
          <w:sz w:val="28"/>
        </w:rPr>
        <w:t>3. budowa sieci wodociągowych.</w:t>
      </w:r>
    </w:p>
    <w:p w:rsidR="00202C2D" w:rsidRDefault="004366E5">
      <w:pPr>
        <w:rPr>
          <w:b/>
          <w:sz w:val="28"/>
        </w:rPr>
      </w:pPr>
      <w:r>
        <w:rPr>
          <w:sz w:val="28"/>
        </w:rPr>
        <w:t>Uzupełniająco, jako element projektu możliwe będą również:</w:t>
      </w:r>
    </w:p>
    <w:p w:rsidR="00202C2D" w:rsidRDefault="004366E5">
      <w:pPr>
        <w:rPr>
          <w:b/>
          <w:sz w:val="28"/>
        </w:rPr>
      </w:pPr>
      <w:r>
        <w:rPr>
          <w:sz w:val="28"/>
        </w:rPr>
        <w:t>a. wdrażanie rozwiązań z zakresu gospodarki o obiegu zamkniętym;</w:t>
      </w:r>
    </w:p>
    <w:p w:rsidR="00202C2D" w:rsidRDefault="004366E5">
      <w:pPr>
        <w:rPr>
          <w:b/>
          <w:sz w:val="28"/>
        </w:rPr>
      </w:pPr>
      <w:r>
        <w:rPr>
          <w:sz w:val="28"/>
        </w:rPr>
        <w:t>b. działania sprzyjające adaptacji do zmian klimatu, w szczególności poprzez zastosowanie błękitno-zielonej infrastruktury.</w:t>
      </w:r>
    </w:p>
    <w:p w:rsidR="00202C2D" w:rsidRDefault="004366E5">
      <w:pPr>
        <w:rPr>
          <w:b/>
          <w:sz w:val="28"/>
        </w:rPr>
      </w:pPr>
      <w:r>
        <w:rPr>
          <w:sz w:val="28"/>
        </w:rPr>
        <w:t xml:space="preserve">Najważniejsze warunki realizacji projektów: </w:t>
      </w:r>
    </w:p>
    <w:p w:rsidR="00202C2D" w:rsidRDefault="004366E5">
      <w:pPr>
        <w:rPr>
          <w:b/>
          <w:sz w:val="28"/>
        </w:rPr>
      </w:pPr>
      <w:r>
        <w:rPr>
          <w:sz w:val="28"/>
        </w:rPr>
        <w:t>1. Wspierane będą wyłącznie projekty realizowane w gminach do 15 tys. mieszkańców;</w:t>
      </w:r>
    </w:p>
    <w:p w:rsidR="00202C2D" w:rsidRDefault="004366E5">
      <w:pPr>
        <w:rPr>
          <w:b/>
          <w:sz w:val="28"/>
        </w:rPr>
      </w:pPr>
      <w:r>
        <w:rPr>
          <w:sz w:val="28"/>
        </w:rPr>
        <w:t xml:space="preserve">2. Budowa sieci wodociągowych możliwa będzie tylko w przypadku, gdy na danym obszarze zapewnione jest zagospodarowanie ścieków zgodne z dyrektywą 91/271/EWG, bądź taka zgodność zostanie uzyskana w wyniku zakończenia realizowanych już projektów. </w:t>
      </w:r>
    </w:p>
    <w:p w:rsidR="00202C2D" w:rsidRDefault="004366E5">
      <w:pPr>
        <w:rPr>
          <w:b/>
          <w:sz w:val="28"/>
        </w:rPr>
      </w:pPr>
      <w:r>
        <w:rPr>
          <w:sz w:val="28"/>
        </w:rPr>
        <w:t>Stopień dostosowania do wymogów dyrektywy 91/271/EWG określony może być między innymi na podstawie:</w:t>
      </w:r>
    </w:p>
    <w:p w:rsidR="00202C2D" w:rsidRDefault="004366E5">
      <w:pPr>
        <w:rPr>
          <w:b/>
          <w:sz w:val="28"/>
        </w:rPr>
      </w:pPr>
      <w:r>
        <w:rPr>
          <w:sz w:val="28"/>
        </w:rPr>
        <w:lastRenderedPageBreak/>
        <w:t>a. KPOŚK, obowiązującego na dzień składania wniosku o dofinansowanie;</w:t>
      </w:r>
    </w:p>
    <w:p w:rsidR="00202C2D" w:rsidRDefault="004366E5">
      <w:pPr>
        <w:rPr>
          <w:b/>
          <w:sz w:val="28"/>
        </w:rPr>
      </w:pPr>
      <w:r>
        <w:rPr>
          <w:sz w:val="28"/>
        </w:rPr>
        <w:t>b. Rejestru przydomowych oczyszczalni ścieków i zbiorników bezodpływowych, prowadzonego zgodnie z wytycznymi art. 3 ust. 3 pkt. 1 i 2 ustawy z dnia 13 września 1996 r. o utrzymaniu czystości i porządku w gminach (Dz. U. z 2013 r. poz. 1399 ze zm.);</w:t>
      </w:r>
    </w:p>
    <w:p w:rsidR="00202C2D" w:rsidRDefault="004366E5">
      <w:pPr>
        <w:rPr>
          <w:b/>
          <w:sz w:val="28"/>
        </w:rPr>
      </w:pPr>
      <w:r>
        <w:rPr>
          <w:sz w:val="28"/>
        </w:rPr>
        <w:t>3. Administracja rządowa, jednostki naukowe i szkoły wyższe mogą ubiegać się o dofinansowanie wyłącznie w ramach drugiego typu projektu;</w:t>
      </w:r>
    </w:p>
    <w:p w:rsidR="00202C2D" w:rsidRDefault="004366E5">
      <w:pPr>
        <w:rPr>
          <w:b/>
          <w:sz w:val="28"/>
        </w:rPr>
      </w:pPr>
      <w:r>
        <w:rPr>
          <w:sz w:val="28"/>
        </w:rPr>
        <w:t xml:space="preserve">4. Podatek VAT w projekcie jest niekwalifikowalny. </w:t>
      </w:r>
    </w:p>
    <w:p w:rsidR="00202C2D" w:rsidRDefault="004366E5">
      <w:pPr>
        <w:rPr>
          <w:b/>
          <w:sz w:val="28"/>
        </w:rPr>
      </w:pPr>
      <w:r>
        <w:rPr>
          <w:sz w:val="28"/>
        </w:rPr>
        <w:t>Preferowane będą projekty:</w:t>
      </w:r>
    </w:p>
    <w:p w:rsidR="00202C2D" w:rsidRDefault="004366E5">
      <w:pPr>
        <w:rPr>
          <w:b/>
          <w:sz w:val="28"/>
        </w:rPr>
      </w:pPr>
      <w:r>
        <w:rPr>
          <w:sz w:val="28"/>
        </w:rPr>
        <w:t xml:space="preserve">1. realizowane na obszarach jednolitych części wód podziemnych: </w:t>
      </w:r>
      <w:proofErr w:type="spellStart"/>
      <w:r>
        <w:rPr>
          <w:sz w:val="28"/>
        </w:rPr>
        <w:t>JCWPd</w:t>
      </w:r>
      <w:proofErr w:type="spellEnd"/>
      <w:r>
        <w:rPr>
          <w:sz w:val="28"/>
        </w:rPr>
        <w:t xml:space="preserve"> 12, </w:t>
      </w:r>
      <w:proofErr w:type="spellStart"/>
      <w:r>
        <w:rPr>
          <w:sz w:val="28"/>
        </w:rPr>
        <w:t>JCWPd</w:t>
      </w:r>
      <w:proofErr w:type="spellEnd"/>
      <w:r>
        <w:rPr>
          <w:sz w:val="28"/>
        </w:rPr>
        <w:t xml:space="preserve"> 14, </w:t>
      </w:r>
      <w:proofErr w:type="spellStart"/>
      <w:r>
        <w:rPr>
          <w:sz w:val="28"/>
        </w:rPr>
        <w:t>JCWPd</w:t>
      </w:r>
      <w:proofErr w:type="spellEnd"/>
      <w:r>
        <w:rPr>
          <w:sz w:val="28"/>
        </w:rPr>
        <w:t xml:space="preserve"> 15, </w:t>
      </w:r>
      <w:proofErr w:type="spellStart"/>
      <w:r>
        <w:rPr>
          <w:sz w:val="28"/>
        </w:rPr>
        <w:t>JCWPd</w:t>
      </w:r>
      <w:proofErr w:type="spellEnd"/>
      <w:r>
        <w:rPr>
          <w:sz w:val="28"/>
        </w:rPr>
        <w:t xml:space="preserve"> 16, </w:t>
      </w:r>
      <w:proofErr w:type="spellStart"/>
      <w:r>
        <w:rPr>
          <w:sz w:val="28"/>
        </w:rPr>
        <w:t>JCWPd</w:t>
      </w:r>
      <w:proofErr w:type="spellEnd"/>
      <w:r>
        <w:rPr>
          <w:sz w:val="28"/>
        </w:rPr>
        <w:t xml:space="preserve"> 17,  </w:t>
      </w:r>
      <w:proofErr w:type="spellStart"/>
      <w:r>
        <w:rPr>
          <w:sz w:val="28"/>
        </w:rPr>
        <w:t>JCWPd</w:t>
      </w:r>
      <w:proofErr w:type="spellEnd"/>
      <w:r>
        <w:rPr>
          <w:sz w:val="28"/>
        </w:rPr>
        <w:t xml:space="preserve"> 30, szczegółowe informacje: https://wody.isok.gov.pl/imap_kzgw/?gpmap=gpPGW;</w:t>
      </w:r>
    </w:p>
    <w:p w:rsidR="00202C2D" w:rsidRDefault="004366E5">
      <w:pPr>
        <w:rPr>
          <w:b/>
          <w:sz w:val="28"/>
        </w:rPr>
      </w:pPr>
      <w:r>
        <w:rPr>
          <w:sz w:val="28"/>
        </w:rP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p>
    <w:p w:rsidR="00202C2D" w:rsidRDefault="004366E5">
      <w:pPr>
        <w:rPr>
          <w:b/>
          <w:sz w:val="28"/>
        </w:rPr>
      </w:pPr>
      <w:r>
        <w:rPr>
          <w:sz w:val="28"/>
        </w:rPr>
        <w:t>3. uzgodnione w ramach Zintegrowanych Porozumień Terytorialnych.</w:t>
      </w:r>
    </w:p>
    <w:p w:rsidR="00202C2D" w:rsidRDefault="004366E5">
      <w:pPr>
        <w:rPr>
          <w:b/>
          <w:sz w:val="28"/>
        </w:rPr>
      </w:pPr>
      <w:r>
        <w:rPr>
          <w:sz w:val="28"/>
        </w:rPr>
        <w:t>Ponadto wszystkie projekty dotyczące zarówno gospodarki ściekowej, jak i zaopatrzenia w wodę pitną,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xml:space="preserve">- równości kobiet i mężczyzn, </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lastRenderedPageBreak/>
        <w:t xml:space="preserve">- wspierania zrównoważonego rozwoju, z uwzględnieniem zasady „nie czyń poważnych szkód” (DNSH), </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w:t>
      </w:r>
    </w:p>
    <w:p w:rsidR="00202C2D" w:rsidRDefault="004366E5">
      <w:pPr>
        <w:rPr>
          <w:b/>
          <w:sz w:val="28"/>
        </w:rPr>
      </w:pPr>
      <w:r>
        <w:rPr>
          <w:sz w:val="28"/>
        </w:rPr>
        <w:t>Ukierunkowanie terytorialne:</w:t>
      </w:r>
    </w:p>
    <w:p w:rsidR="00202C2D" w:rsidRDefault="004366E5">
      <w:pPr>
        <w:rPr>
          <w:b/>
          <w:sz w:val="28"/>
        </w:rPr>
      </w:pPr>
      <w:r>
        <w:rPr>
          <w:sz w:val="28"/>
        </w:rPr>
        <w:t>Obszar całego województwa.</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w:t>
      </w:r>
    </w:p>
    <w:p w:rsidR="00202C2D" w:rsidRDefault="004366E5">
      <w:pPr>
        <w:rPr>
          <w:b/>
          <w:sz w:val="28"/>
        </w:rPr>
      </w:pPr>
      <w:r>
        <w:rPr>
          <w:b/>
          <w:sz w:val="28"/>
        </w:rPr>
        <w:t>Pomoc publiczna – krajowa podstawa prawna</w:t>
      </w:r>
    </w:p>
    <w:p w:rsidR="00202C2D" w:rsidRDefault="004366E5">
      <w:pPr>
        <w:rPr>
          <w:b/>
          <w:sz w:val="28"/>
        </w:rPr>
      </w:pPr>
      <w:r>
        <w:rPr>
          <w:sz w:val="28"/>
        </w:rPr>
        <w:lastRenderedPageBreak/>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Przedsiębiorstwa realizujące cele publiczne, Służby publiczne</w:t>
      </w:r>
    </w:p>
    <w:p w:rsidR="00202C2D" w:rsidRDefault="004366E5">
      <w:pPr>
        <w:rPr>
          <w:b/>
          <w:sz w:val="28"/>
        </w:rPr>
      </w:pPr>
      <w:r>
        <w:rPr>
          <w:b/>
          <w:sz w:val="28"/>
        </w:rPr>
        <w:t>Typ beneficjenta – szczegółowy</w:t>
      </w:r>
    </w:p>
    <w:p w:rsidR="00202C2D" w:rsidRDefault="004366E5">
      <w:pPr>
        <w:rPr>
          <w:b/>
          <w:sz w:val="28"/>
        </w:rPr>
      </w:pPr>
      <w:r>
        <w:rPr>
          <w:sz w:val="28"/>
        </w:rP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202C2D" w:rsidRDefault="004366E5">
      <w:pPr>
        <w:rPr>
          <w:b/>
          <w:sz w:val="28"/>
        </w:rPr>
      </w:pPr>
      <w:r>
        <w:rPr>
          <w:b/>
          <w:sz w:val="28"/>
        </w:rPr>
        <w:t>Grupa docelowa</w:t>
      </w:r>
    </w:p>
    <w:p w:rsidR="00202C2D" w:rsidRDefault="004366E5">
      <w:pPr>
        <w:rPr>
          <w:b/>
          <w:sz w:val="28"/>
        </w:rPr>
      </w:pPr>
      <w:r>
        <w:rPr>
          <w:sz w:val="28"/>
        </w:rPr>
        <w:lastRenderedPageBreak/>
        <w:t>mieszkańcy korzystający z zasobów środowiska, mieszkańcy korzystający ze wspartej infrastruktury, użytkownicy korzystający z zasobów środowiska, użytkownicy korzystający ze wspartej infrastruktury</w:t>
      </w:r>
    </w:p>
    <w:p w:rsidR="00202C2D" w:rsidRDefault="004366E5">
      <w:pPr>
        <w:rPr>
          <w:b/>
          <w:sz w:val="28"/>
        </w:rPr>
      </w:pPr>
      <w:r>
        <w:rPr>
          <w:b/>
          <w:sz w:val="28"/>
        </w:rPr>
        <w:t>Słowa kluczowe</w:t>
      </w:r>
    </w:p>
    <w:p w:rsidR="00202C2D" w:rsidRDefault="004366E5">
      <w:pPr>
        <w:rPr>
          <w:b/>
          <w:sz w:val="28"/>
        </w:rPr>
      </w:pPr>
      <w:proofErr w:type="spellStart"/>
      <w:r>
        <w:rPr>
          <w:sz w:val="28"/>
        </w:rPr>
        <w:t>dostęp_do_wody</w:t>
      </w:r>
      <w:proofErr w:type="spellEnd"/>
      <w:r>
        <w:rPr>
          <w:sz w:val="28"/>
        </w:rPr>
        <w:t xml:space="preserve">, </w:t>
      </w:r>
      <w:proofErr w:type="spellStart"/>
      <w:r>
        <w:rPr>
          <w:sz w:val="28"/>
        </w:rPr>
        <w:t>gospodarka_ściekowa</w:t>
      </w:r>
      <w:proofErr w:type="spellEnd"/>
      <w:r>
        <w:rPr>
          <w:sz w:val="28"/>
        </w:rPr>
        <w:t xml:space="preserve">, kanalizacja, oczyszczalnia, ścieki, </w:t>
      </w:r>
      <w:proofErr w:type="spellStart"/>
      <w:r>
        <w:rPr>
          <w:sz w:val="28"/>
        </w:rPr>
        <w:t>sieć_kanalizacyjna</w:t>
      </w:r>
      <w:proofErr w:type="spellEnd"/>
      <w:r>
        <w:rPr>
          <w:sz w:val="28"/>
        </w:rPr>
        <w:t xml:space="preserve">, </w:t>
      </w:r>
      <w:proofErr w:type="spellStart"/>
      <w:r>
        <w:rPr>
          <w:sz w:val="28"/>
        </w:rPr>
        <w:t>sieci_wodociagowe</w:t>
      </w:r>
      <w:proofErr w:type="spellEnd"/>
      <w:r>
        <w:rPr>
          <w:sz w:val="28"/>
        </w:rPr>
        <w:t xml:space="preserve">, </w:t>
      </w:r>
      <w:proofErr w:type="spellStart"/>
      <w:r>
        <w:rPr>
          <w:sz w:val="28"/>
        </w:rPr>
        <w:t>stacja_uzdatniania_wody</w:t>
      </w:r>
      <w:proofErr w:type="spellEnd"/>
      <w:r>
        <w:rPr>
          <w:sz w:val="28"/>
        </w:rPr>
        <w:t xml:space="preserve">, woda, </w:t>
      </w:r>
      <w:proofErr w:type="spellStart"/>
      <w:r>
        <w:rPr>
          <w:sz w:val="28"/>
        </w:rPr>
        <w:t>zaopatrzenie_w_wodę</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t>Duże</w:t>
      </w:r>
    </w:p>
    <w:p w:rsidR="00202C2D" w:rsidRDefault="004366E5">
      <w:pPr>
        <w:rPr>
          <w:b/>
          <w:sz w:val="28"/>
        </w:rPr>
      </w:pPr>
      <w:r>
        <w:rPr>
          <w:b/>
          <w:sz w:val="28"/>
        </w:rPr>
        <w:t>Wskaźniki produktu</w:t>
      </w:r>
    </w:p>
    <w:p w:rsidR="00202C2D" w:rsidRDefault="004366E5">
      <w:pPr>
        <w:rPr>
          <w:b/>
          <w:sz w:val="28"/>
        </w:rPr>
      </w:pPr>
      <w:r>
        <w:rPr>
          <w:sz w:val="28"/>
        </w:rPr>
        <w:t>WLWK-RCO031 - Długość nowych lub zmodernizowanych sieci kanalizacyjnych w ramach zbiorowych systemów odprowadzania ścieków</w:t>
      </w:r>
    </w:p>
    <w:p w:rsidR="00202C2D" w:rsidRDefault="004366E5">
      <w:pPr>
        <w:rPr>
          <w:b/>
          <w:sz w:val="28"/>
        </w:rPr>
      </w:pPr>
      <w:r>
        <w:rPr>
          <w:sz w:val="28"/>
        </w:rPr>
        <w:t>WLWK-RCO030 - Długość nowych lub zmodernizowanych sieci wodociągowych w ramach zbiorowych systemów zaopatrzenia w wodę</w:t>
      </w:r>
    </w:p>
    <w:p w:rsidR="00202C2D" w:rsidRDefault="004366E5">
      <w:pPr>
        <w:rPr>
          <w:b/>
          <w:sz w:val="28"/>
        </w:rPr>
      </w:pPr>
      <w:r>
        <w:rPr>
          <w:sz w:val="28"/>
        </w:rPr>
        <w:t>WLWK-PLRO045 - Długość wybudowanej sieci wodociągowej</w:t>
      </w:r>
    </w:p>
    <w:p w:rsidR="00202C2D" w:rsidRDefault="004366E5">
      <w:pPr>
        <w:rPr>
          <w:b/>
          <w:sz w:val="28"/>
        </w:rPr>
      </w:pPr>
      <w:r>
        <w:rPr>
          <w:sz w:val="28"/>
        </w:rPr>
        <w:t>WLWK-PLRO053 - Liczba wspartych stacji uzdatniania wody</w:t>
      </w:r>
    </w:p>
    <w:p w:rsidR="00202C2D" w:rsidRDefault="004366E5">
      <w:pPr>
        <w:rPr>
          <w:b/>
          <w:sz w:val="28"/>
        </w:rPr>
      </w:pPr>
      <w:r>
        <w:rPr>
          <w:sz w:val="28"/>
        </w:rPr>
        <w:t>WLWK-RCO032 - Wydajność nowo wybudowanych lub zmodernizowanych instalacji oczyszczania ścieków</w:t>
      </w:r>
    </w:p>
    <w:p w:rsidR="00202C2D" w:rsidRDefault="004366E5">
      <w:pPr>
        <w:rPr>
          <w:b/>
          <w:sz w:val="28"/>
        </w:rPr>
      </w:pPr>
      <w:r>
        <w:rPr>
          <w:b/>
          <w:sz w:val="28"/>
        </w:rPr>
        <w:t>Wskaźniki rezultatu</w:t>
      </w:r>
    </w:p>
    <w:p w:rsidR="00202C2D" w:rsidRDefault="004366E5">
      <w:pPr>
        <w:rPr>
          <w:b/>
          <w:sz w:val="28"/>
        </w:rPr>
      </w:pPr>
      <w:r>
        <w:rPr>
          <w:sz w:val="28"/>
        </w:rPr>
        <w:t>WLWK-PLRR039 - Ilość suchej masy komunalnych osadów ściekowych poddawanych procesom przetwarzania]</w:t>
      </w:r>
    </w:p>
    <w:p w:rsidR="00202C2D" w:rsidRDefault="004366E5">
      <w:pPr>
        <w:rPr>
          <w:b/>
          <w:sz w:val="28"/>
        </w:rPr>
      </w:pPr>
      <w:r>
        <w:rPr>
          <w:sz w:val="28"/>
        </w:rPr>
        <w:t>WLWK-RCR041 - Ludność przyłączona do udoskonalonych zbiorowych systemów zaopatrzenia w wodę</w:t>
      </w:r>
    </w:p>
    <w:p w:rsidR="00202C2D" w:rsidRDefault="004366E5">
      <w:pPr>
        <w:rPr>
          <w:b/>
          <w:sz w:val="28"/>
        </w:rPr>
      </w:pPr>
      <w:r>
        <w:rPr>
          <w:sz w:val="28"/>
        </w:rPr>
        <w:t>WLWK-RCR042 - Ludność przyłączona do zbiorowych systemów oczyszczania ścieków co najmniej II stopnia</w:t>
      </w:r>
    </w:p>
    <w:p w:rsidR="00202C2D" w:rsidRDefault="00202C2D">
      <w:pPr>
        <w:rPr>
          <w:b/>
          <w:sz w:val="28"/>
        </w:rPr>
      </w:pPr>
    </w:p>
    <w:p w:rsidR="00202C2D" w:rsidRDefault="004366E5">
      <w:pPr>
        <w:pStyle w:val="Nagwek3"/>
        <w:rPr>
          <w:rFonts w:ascii="Calibri" w:hAnsi="Calibri" w:cs="Calibri"/>
          <w:sz w:val="32"/>
        </w:rPr>
      </w:pPr>
      <w:bookmarkStart w:id="5" w:name="_Toc132713990"/>
      <w:r>
        <w:rPr>
          <w:rFonts w:ascii="Calibri" w:hAnsi="Calibri" w:cs="Calibri"/>
          <w:sz w:val="32"/>
        </w:rPr>
        <w:t>Działanie FEPM.02.13 Gospodarka o obiegu zamkniętym</w:t>
      </w:r>
      <w:bookmarkEnd w:id="5"/>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rsidR="00202C2D" w:rsidRDefault="004366E5">
      <w:pPr>
        <w:rPr>
          <w:b/>
          <w:sz w:val="28"/>
        </w:rPr>
      </w:pPr>
      <w:r>
        <w:rPr>
          <w:b/>
          <w:sz w:val="28"/>
        </w:rPr>
        <w:t>Wysokość alokacji UE (EUR)</w:t>
      </w:r>
    </w:p>
    <w:p w:rsidR="00202C2D" w:rsidRDefault="004366E5">
      <w:pPr>
        <w:rPr>
          <w:b/>
          <w:sz w:val="28"/>
        </w:rPr>
      </w:pPr>
      <w:r>
        <w:rPr>
          <w:sz w:val="28"/>
        </w:rPr>
        <w:t>29 755 075,00</w:t>
      </w:r>
    </w:p>
    <w:p w:rsidR="00202C2D" w:rsidRDefault="004366E5">
      <w:pPr>
        <w:rPr>
          <w:b/>
          <w:sz w:val="28"/>
        </w:rPr>
      </w:pPr>
      <w:r>
        <w:rPr>
          <w:b/>
          <w:sz w:val="28"/>
        </w:rPr>
        <w:t>Zakres interwencji</w:t>
      </w:r>
    </w:p>
    <w:p w:rsidR="00202C2D" w:rsidRDefault="004366E5">
      <w:pPr>
        <w:rPr>
          <w:b/>
          <w:sz w:val="28"/>
        </w:rPr>
      </w:pPr>
      <w:r>
        <w:rPr>
          <w:sz w:val="28"/>
        </w:rPr>
        <w:t>067 - Gospodarowanie odpadami z gospodarstw domowych: działania w zakresie zapobiegania powstawaniu odpadów, ich minimalizacji, segregacji, ponownego użycia, recyklingu, 070 - Gospodarowanie odpadami przemysłowymi i handlowymi: odpady resztkowe i niebezpieczne</w:t>
      </w:r>
    </w:p>
    <w:p w:rsidR="00202C2D" w:rsidRDefault="004366E5">
      <w:pPr>
        <w:rPr>
          <w:b/>
          <w:sz w:val="28"/>
        </w:rPr>
      </w:pPr>
      <w:r>
        <w:rPr>
          <w:b/>
          <w:sz w:val="28"/>
        </w:rPr>
        <w:t>Opis działania</w:t>
      </w:r>
    </w:p>
    <w:p w:rsidR="00202C2D" w:rsidRDefault="004366E5">
      <w:pPr>
        <w:rPr>
          <w:b/>
          <w:sz w:val="28"/>
        </w:rPr>
      </w:pPr>
      <w:r>
        <w:rPr>
          <w:sz w:val="28"/>
        </w:rP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p>
    <w:p w:rsidR="00202C2D" w:rsidRDefault="004366E5">
      <w:pPr>
        <w:rPr>
          <w:b/>
          <w:sz w:val="28"/>
        </w:rPr>
      </w:pPr>
      <w:r>
        <w:rPr>
          <w:sz w:val="28"/>
        </w:rP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p>
    <w:p w:rsidR="00202C2D" w:rsidRDefault="004366E5">
      <w:pPr>
        <w:rPr>
          <w:b/>
          <w:sz w:val="28"/>
        </w:rPr>
      </w:pPr>
      <w:r>
        <w:rPr>
          <w:sz w:val="28"/>
        </w:rPr>
        <w:t>Typy projektów:</w:t>
      </w:r>
    </w:p>
    <w:p w:rsidR="00202C2D" w:rsidRDefault="004366E5">
      <w:pPr>
        <w:rPr>
          <w:b/>
          <w:sz w:val="28"/>
        </w:rPr>
      </w:pPr>
      <w:r>
        <w:rPr>
          <w:sz w:val="28"/>
        </w:rPr>
        <w:lastRenderedPageBreak/>
        <w:t>1. budowa, rozbudowa, remont, zakup wyposażenia niezbędnego do utworzenia centrum przygotowania do ponownego użycia (w tym napraw), wymiany zużytych urządzeń i sprzętu domowego lub innych rzeczy używanych;</w:t>
      </w:r>
    </w:p>
    <w:p w:rsidR="00202C2D" w:rsidRDefault="004366E5">
      <w:pPr>
        <w:rPr>
          <w:b/>
          <w:sz w:val="28"/>
        </w:rPr>
      </w:pPr>
      <w:r>
        <w:rPr>
          <w:sz w:val="28"/>
        </w:rPr>
        <w:t>2. budowa, rozbudowa, zakup wyposażenia punktu selektywnego zbierania odpadów komunalnych (PSZOK);</w:t>
      </w:r>
    </w:p>
    <w:p w:rsidR="00202C2D" w:rsidRDefault="004366E5">
      <w:pPr>
        <w:rPr>
          <w:b/>
          <w:sz w:val="28"/>
        </w:rPr>
      </w:pPr>
      <w:r>
        <w:rPr>
          <w:sz w:val="28"/>
        </w:rPr>
        <w:t xml:space="preserve">3. budowa, rozbudowa systemów selektywnego zbierania odpadów komunalnych, w tym odpadów ulegających biodegradacji; </w:t>
      </w:r>
    </w:p>
    <w:p w:rsidR="00202C2D" w:rsidRDefault="004366E5">
      <w:pPr>
        <w:rPr>
          <w:b/>
          <w:sz w:val="28"/>
        </w:rPr>
      </w:pPr>
      <w:r>
        <w:rPr>
          <w:sz w:val="28"/>
        </w:rPr>
        <w:t>4. budowa, rozbudowa, przebudowa instalacji recyklingu odpadów, w tym odpadów ulegających biodegradacji w procesach kompostowania lub fermentacji;</w:t>
      </w:r>
    </w:p>
    <w:p w:rsidR="00202C2D" w:rsidRDefault="004366E5">
      <w:pPr>
        <w:rPr>
          <w:b/>
          <w:sz w:val="28"/>
        </w:rPr>
      </w:pPr>
      <w:r>
        <w:rPr>
          <w:sz w:val="28"/>
        </w:rPr>
        <w:t>5. budowa, rozbudowa instalacji do termicznego przekształcania odpadów medycznych i weterynaryjnych wraz z odzyskiem energii;</w:t>
      </w:r>
    </w:p>
    <w:p w:rsidR="00202C2D" w:rsidRDefault="004366E5">
      <w:pPr>
        <w:rPr>
          <w:b/>
          <w:sz w:val="28"/>
        </w:rPr>
      </w:pPr>
      <w:r>
        <w:rPr>
          <w:sz w:val="28"/>
        </w:rP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p>
    <w:p w:rsidR="00202C2D" w:rsidRDefault="004366E5">
      <w:pPr>
        <w:rPr>
          <w:b/>
          <w:sz w:val="28"/>
        </w:rPr>
      </w:pPr>
      <w:r>
        <w:rPr>
          <w:sz w:val="28"/>
        </w:rPr>
        <w:t>7. rozwój infrastruktury technicznej (budynki i wyposażenie) związanej z pozyskaniem, magazynowaniem i dystrybucją niesprzedanych produktów żywnościowych lub produktów o krótkim terminie przydatności do spożycia;</w:t>
      </w:r>
    </w:p>
    <w:p w:rsidR="00202C2D" w:rsidRDefault="004366E5">
      <w:pPr>
        <w:rPr>
          <w:b/>
          <w:sz w:val="28"/>
        </w:rPr>
      </w:pPr>
      <w:r>
        <w:rPr>
          <w:sz w:val="28"/>
        </w:rPr>
        <w:t>8. działania edukacyjne dotyczące podnoszenia poziomu wiedzy i kompetencji mieszkańców, pracowników jednostek samorządu terytorialnego oraz przedsiębiorstw w zakresie gospodarki o obiegu zamkniętym;</w:t>
      </w:r>
    </w:p>
    <w:p w:rsidR="00202C2D" w:rsidRDefault="004366E5">
      <w:pPr>
        <w:rPr>
          <w:b/>
          <w:sz w:val="28"/>
        </w:rPr>
      </w:pPr>
      <w:r>
        <w:rPr>
          <w:sz w:val="28"/>
        </w:rPr>
        <w:t xml:space="preserve">9. opracowywanie dokumentów planistycznych związanych z wdrażaniem gospodarki o obiegu zamkniętym oraz strategii „zero waste” na poziomie lokalnym i regionalnym. </w:t>
      </w:r>
    </w:p>
    <w:p w:rsidR="00202C2D" w:rsidRDefault="004366E5">
      <w:pPr>
        <w:rPr>
          <w:b/>
          <w:sz w:val="28"/>
        </w:rPr>
      </w:pPr>
      <w:r>
        <w:rPr>
          <w:sz w:val="28"/>
        </w:rPr>
        <w:t>Uzupełniająco, jako element projektu infrastrukturalnego możliwe będą również działania sprzyjające adaptacji do zmian klimatu, w szczególności poprzez zastosowanie błękitno-zielonej infrastruktury.</w:t>
      </w:r>
    </w:p>
    <w:p w:rsidR="00202C2D" w:rsidRDefault="004366E5">
      <w:pPr>
        <w:rPr>
          <w:b/>
          <w:sz w:val="28"/>
        </w:rPr>
      </w:pPr>
      <w:r>
        <w:rPr>
          <w:sz w:val="28"/>
        </w:rPr>
        <w:lastRenderedPageBreak/>
        <w:t>Ponadto możliwa będzie kontynuacja inwestycji realizowanych w RPO WP 2014-2020, które uzyskały zgodę Instytucji Zarządzającej (IZ) na fazowanie projektu.</w:t>
      </w:r>
    </w:p>
    <w:p w:rsidR="00202C2D" w:rsidRDefault="004366E5">
      <w:pPr>
        <w:rPr>
          <w:b/>
          <w:sz w:val="28"/>
        </w:rPr>
      </w:pPr>
      <w:r>
        <w:rPr>
          <w:sz w:val="28"/>
        </w:rPr>
        <w:t>Najważniejsze warunki realizacji projektów:</w:t>
      </w:r>
    </w:p>
    <w:p w:rsidR="00202C2D" w:rsidRDefault="004366E5">
      <w:pPr>
        <w:rPr>
          <w:b/>
          <w:sz w:val="28"/>
        </w:rPr>
      </w:pPr>
      <w:r>
        <w:rPr>
          <w:sz w:val="28"/>
        </w:rP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p>
    <w:p w:rsidR="00202C2D" w:rsidRDefault="004366E5">
      <w:pPr>
        <w:rPr>
          <w:b/>
          <w:sz w:val="28"/>
        </w:rPr>
      </w:pPr>
      <w:r>
        <w:rPr>
          <w:sz w:val="28"/>
        </w:rPr>
        <w:t>Odpady resztkowe należy rozumieć głównie jako odpady komunalne, które nie są zbierane selektywnie i pozostałości po przetwarzaniu odpadów.</w:t>
      </w:r>
    </w:p>
    <w:p w:rsidR="00202C2D" w:rsidRDefault="004366E5">
      <w:pPr>
        <w:rPr>
          <w:b/>
          <w:sz w:val="28"/>
        </w:rPr>
      </w:pPr>
      <w:r>
        <w:rPr>
          <w:sz w:val="28"/>
        </w:rPr>
        <w:t xml:space="preserve">2. W ramach drugiego typu projektu będzie wspierany PSZOK obsługujący nie więcej niż 20 tys. mieszkańców lub inwestycja w PSZOK o wartości kosztów kwalifikowanych nie większych niż 2 mln zł. </w:t>
      </w:r>
    </w:p>
    <w:p w:rsidR="00202C2D" w:rsidRDefault="004366E5">
      <w:pPr>
        <w:rPr>
          <w:b/>
          <w:sz w:val="28"/>
        </w:rPr>
      </w:pPr>
      <w:r>
        <w:rPr>
          <w:sz w:val="28"/>
        </w:rP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p>
    <w:p w:rsidR="00202C2D" w:rsidRDefault="004366E5">
      <w:pPr>
        <w:rPr>
          <w:b/>
          <w:sz w:val="28"/>
        </w:rPr>
      </w:pPr>
      <w:r>
        <w:rPr>
          <w:sz w:val="28"/>
        </w:rPr>
        <w:t>4. W czwartym typie projektu wartość kosztów kwalifikowalnych nie może być większa niż 8 mln zł.</w:t>
      </w:r>
    </w:p>
    <w:p w:rsidR="00202C2D" w:rsidRDefault="004366E5">
      <w:pPr>
        <w:rPr>
          <w:b/>
          <w:sz w:val="28"/>
        </w:rPr>
      </w:pPr>
      <w:r>
        <w:rPr>
          <w:sz w:val="28"/>
        </w:rPr>
        <w:t xml:space="preserve">5. W ramach szóstego typu projektu: </w:t>
      </w:r>
    </w:p>
    <w:p w:rsidR="00202C2D" w:rsidRDefault="004366E5">
      <w:pPr>
        <w:rPr>
          <w:b/>
          <w:sz w:val="28"/>
        </w:rPr>
      </w:pPr>
      <w:r>
        <w:rPr>
          <w:sz w:val="28"/>
        </w:rPr>
        <w:t>- finansowane mogą być wyłącznie projekty ujęte w Planie inwestycyjnym stanowiącym załącznik do obowiązującego Planu Gospodarki Odpadami dla Województwa Pomorskiego, a ich wartość kosztów kwalifikowalnych nie może przekraczać 12 mln zł;</w:t>
      </w:r>
    </w:p>
    <w:p w:rsidR="00202C2D" w:rsidRDefault="004366E5">
      <w:pPr>
        <w:rPr>
          <w:b/>
          <w:sz w:val="28"/>
        </w:rPr>
      </w:pPr>
      <w:r>
        <w:rPr>
          <w:sz w:val="28"/>
        </w:rPr>
        <w:t>- w zakresie przebudowy instalacji mechaniczno-biologicznego przetwarzania odpadów komunalnych wspierane będą wyłącznie projekty mające na  celu poprawę efektywności procesów przygotowania odpadów do recyklingu.</w:t>
      </w:r>
    </w:p>
    <w:p w:rsidR="00202C2D" w:rsidRDefault="004366E5">
      <w:pPr>
        <w:rPr>
          <w:b/>
          <w:sz w:val="28"/>
        </w:rPr>
      </w:pPr>
      <w:r>
        <w:rPr>
          <w:sz w:val="28"/>
        </w:rPr>
        <w:lastRenderedPageBreak/>
        <w:t>6. Dla siódmego typu projektu, w zakresie zapobiegania powstawaniu odpadów żywności, w szczególności przez wykorzystanie niesprzedanych produktów spożywczych lub produktów o krótkim terminie przydatności do spożycia, finansowane mogą być:</w:t>
      </w:r>
    </w:p>
    <w:p w:rsidR="00202C2D" w:rsidRDefault="004366E5">
      <w:pPr>
        <w:rPr>
          <w:b/>
          <w:sz w:val="28"/>
        </w:rPr>
      </w:pPr>
      <w:r>
        <w:rPr>
          <w:sz w:val="28"/>
        </w:rPr>
        <w:t xml:space="preserve">- wyłącznie projekty o zasięgu niewykraczającym poza obszar województwa pomorskiego; </w:t>
      </w:r>
    </w:p>
    <w:p w:rsidR="00202C2D" w:rsidRDefault="004366E5">
      <w:pPr>
        <w:rPr>
          <w:b/>
          <w:sz w:val="28"/>
        </w:rPr>
      </w:pPr>
      <w:r>
        <w:rPr>
          <w:sz w:val="28"/>
        </w:rPr>
        <w:t>- komplementarne z działaniami prowadzonymi na poziomie krajowym w programach Fundusze Europejskie na Infrastrukturę, Klimat, Środowisko 2021-2027 (</w:t>
      </w:r>
      <w:proofErr w:type="spellStart"/>
      <w:r>
        <w:rPr>
          <w:sz w:val="28"/>
        </w:rPr>
        <w:t>FEnIKS</w:t>
      </w:r>
      <w:proofErr w:type="spellEnd"/>
      <w:r>
        <w:rPr>
          <w:sz w:val="28"/>
        </w:rPr>
        <w:t xml:space="preserve">) oraz Fundusze Europejskie na Pomoc Żywnościową 2021-2027 (FEPŻ); </w:t>
      </w:r>
    </w:p>
    <w:p w:rsidR="00202C2D" w:rsidRDefault="004366E5">
      <w:pPr>
        <w:rPr>
          <w:b/>
          <w:sz w:val="28"/>
        </w:rPr>
      </w:pPr>
      <w:r>
        <w:rPr>
          <w:sz w:val="28"/>
        </w:rPr>
        <w:t>- realizowane wyłącznie przez organizacje pozarządowe określone w Ustawie z dnia 19 lipca 2019 r. o przeciwdziałaniu marnowaniu żywności (Dz. U. z 2020 r. poz. 1645).</w:t>
      </w:r>
    </w:p>
    <w:p w:rsidR="00202C2D" w:rsidRDefault="004366E5">
      <w:pPr>
        <w:rPr>
          <w:b/>
          <w:sz w:val="28"/>
        </w:rPr>
      </w:pPr>
      <w:r>
        <w:rPr>
          <w:sz w:val="28"/>
        </w:rPr>
        <w:t>7. Działania realizowane w ramach ósmego typu projektu mogą stanowić osobny projekt jedynie w przypadku, gdy stanowią kompleksowe przedsięwzięcie edukacyjne prowadzone na terenie całego województwa.</w:t>
      </w:r>
    </w:p>
    <w:p w:rsidR="00202C2D" w:rsidRDefault="004366E5">
      <w:pPr>
        <w:rPr>
          <w:b/>
          <w:sz w:val="28"/>
        </w:rPr>
      </w:pPr>
      <w:r>
        <w:rPr>
          <w:sz w:val="28"/>
        </w:rPr>
        <w:t>8. W ramach dziewiątego typu projektu dokumenty muszą być przygotowane przez lub z udziałem właściwej ze względu na obszar jednostki samorządu terytorialnego.</w:t>
      </w:r>
    </w:p>
    <w:p w:rsidR="00202C2D" w:rsidRDefault="004366E5">
      <w:pPr>
        <w:rPr>
          <w:b/>
          <w:sz w:val="28"/>
        </w:rPr>
      </w:pPr>
      <w:r>
        <w:rPr>
          <w:sz w:val="28"/>
        </w:rPr>
        <w:t>9. W ramach typów projektów siedem, osiem i dziewięć możliwe jest kwalifikowanie kosztów personelu bezpośredniego, wydatki w tym zakresie rozliczane będą w sposób uproszczony - jako 20% kosztów bezpośrednich innych niż koszty tego personelu;</w:t>
      </w:r>
    </w:p>
    <w:p w:rsidR="00202C2D" w:rsidRDefault="004366E5">
      <w:pPr>
        <w:rPr>
          <w:b/>
          <w:sz w:val="28"/>
        </w:rPr>
      </w:pPr>
      <w:r>
        <w:rPr>
          <w:sz w:val="28"/>
        </w:rPr>
        <w:t xml:space="preserve">10. Podatek VAT w projekcie jest niekwalifikowalny. </w:t>
      </w:r>
    </w:p>
    <w:p w:rsidR="00202C2D" w:rsidRDefault="004366E5">
      <w:pPr>
        <w:rPr>
          <w:b/>
          <w:sz w:val="28"/>
        </w:rPr>
      </w:pPr>
      <w:r>
        <w:rPr>
          <w:sz w:val="28"/>
        </w:rPr>
        <w:t>Ponadto wszystkie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lastRenderedPageBreak/>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xml:space="preserve">- wspierania zrównoważonego rozwoju, z uwzględnieniem zasady „nie czyń poważnych szkód” (DNSH), </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w:t>
      </w:r>
    </w:p>
    <w:p w:rsidR="00202C2D" w:rsidRDefault="004366E5">
      <w:pPr>
        <w:rPr>
          <w:b/>
          <w:sz w:val="28"/>
        </w:rPr>
      </w:pPr>
      <w:r>
        <w:rPr>
          <w:sz w:val="28"/>
        </w:rPr>
        <w:t>Ukierunkowanie terytorialne:</w:t>
      </w:r>
    </w:p>
    <w:p w:rsidR="00202C2D" w:rsidRDefault="004366E5">
      <w:pPr>
        <w:rPr>
          <w:b/>
          <w:sz w:val="28"/>
        </w:rPr>
      </w:pPr>
      <w:r>
        <w:rPr>
          <w:sz w:val="28"/>
        </w:rPr>
        <w:t>Obszar całego województwa.</w:t>
      </w:r>
    </w:p>
    <w:p w:rsidR="00202C2D" w:rsidRDefault="004366E5">
      <w:pPr>
        <w:rPr>
          <w:b/>
          <w:sz w:val="28"/>
        </w:rPr>
      </w:pPr>
      <w:r>
        <w:rPr>
          <w:sz w:val="28"/>
        </w:rPr>
        <w:t>Preferowane będą projekty:</w:t>
      </w:r>
    </w:p>
    <w:p w:rsidR="00202C2D" w:rsidRDefault="004366E5">
      <w:pPr>
        <w:rPr>
          <w:b/>
          <w:sz w:val="28"/>
        </w:rPr>
      </w:pPr>
      <w:r>
        <w:rPr>
          <w:sz w:val="28"/>
        </w:rPr>
        <w:t>1. dotyczące zapobiegania powstawaniu odpadów i przygotowania ich do ponownego użycia;</w:t>
      </w:r>
    </w:p>
    <w:p w:rsidR="00202C2D" w:rsidRDefault="004366E5">
      <w:pPr>
        <w:rPr>
          <w:b/>
          <w:sz w:val="28"/>
        </w:rPr>
      </w:pPr>
      <w:r>
        <w:rPr>
          <w:sz w:val="28"/>
        </w:rPr>
        <w:t>2. wspierające rozwój i upowszechnianie modeli produkcji i konsumpcji ukierunkowanych na jak najniższe zużycie zasobów;</w:t>
      </w:r>
    </w:p>
    <w:p w:rsidR="00202C2D" w:rsidRDefault="004366E5">
      <w:pPr>
        <w:rPr>
          <w:b/>
          <w:sz w:val="28"/>
        </w:rPr>
      </w:pPr>
      <w:r>
        <w:rPr>
          <w:sz w:val="28"/>
        </w:rPr>
        <w:t>3. uzgodnione w ramach Zintegrowanych Porozumień Terytorialnych.</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lastRenderedPageBreak/>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202C2D" w:rsidRDefault="004366E5">
      <w:pPr>
        <w:rPr>
          <w:b/>
          <w:sz w:val="28"/>
        </w:rPr>
      </w:pPr>
      <w:r>
        <w:rPr>
          <w:b/>
          <w:sz w:val="28"/>
        </w:rPr>
        <w:t>Uproszczone metody rozliczania</w:t>
      </w:r>
    </w:p>
    <w:p w:rsidR="00202C2D" w:rsidRDefault="004366E5">
      <w:pPr>
        <w:rPr>
          <w:b/>
          <w:sz w:val="28"/>
        </w:rPr>
      </w:pPr>
      <w:r>
        <w:rPr>
          <w:sz w:val="28"/>
        </w:rPr>
        <w:t>Brak, do 20 % stawka ryczałtowa na koszty personelu (podstawa wyliczania: koszty bezpośrednie inne niż koszty personelu) [art. 55(1)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lastRenderedPageBreak/>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Organizacje społeczne i związki wyznaniowe, Partnerstwa, Przedsiębiorstwa realizujące cele publiczne, Służby publiczne</w:t>
      </w:r>
    </w:p>
    <w:p w:rsidR="00202C2D" w:rsidRDefault="004366E5">
      <w:pPr>
        <w:rPr>
          <w:b/>
          <w:sz w:val="28"/>
        </w:rPr>
      </w:pPr>
      <w:r>
        <w:rPr>
          <w:b/>
          <w:sz w:val="28"/>
        </w:rPr>
        <w:t>Typ beneficjenta – szczegółowy</w:t>
      </w:r>
    </w:p>
    <w:p w:rsidR="00202C2D" w:rsidRDefault="004366E5">
      <w:pPr>
        <w:rPr>
          <w:b/>
          <w:sz w:val="28"/>
        </w:rPr>
      </w:pPr>
      <w:r>
        <w:rPr>
          <w:sz w:val="28"/>
        </w:rP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202C2D" w:rsidRDefault="004366E5">
      <w:pPr>
        <w:rPr>
          <w:b/>
          <w:sz w:val="28"/>
        </w:rPr>
      </w:pPr>
      <w:r>
        <w:rPr>
          <w:b/>
          <w:sz w:val="28"/>
        </w:rPr>
        <w:t>Grupa docelowa</w:t>
      </w:r>
    </w:p>
    <w:p w:rsidR="00202C2D" w:rsidRDefault="004366E5">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202C2D" w:rsidRDefault="004366E5">
      <w:pPr>
        <w:rPr>
          <w:b/>
          <w:sz w:val="28"/>
        </w:rPr>
      </w:pPr>
      <w:r>
        <w:rPr>
          <w:b/>
          <w:sz w:val="28"/>
        </w:rPr>
        <w:t>Słowa kluczowe</w:t>
      </w:r>
    </w:p>
    <w:p w:rsidR="00202C2D" w:rsidRDefault="004366E5">
      <w:pPr>
        <w:rPr>
          <w:b/>
          <w:sz w:val="28"/>
        </w:rPr>
      </w:pPr>
      <w:r>
        <w:rPr>
          <w:sz w:val="28"/>
        </w:rPr>
        <w:t xml:space="preserve">bioodpady, </w:t>
      </w:r>
      <w:proofErr w:type="spellStart"/>
      <w:r>
        <w:rPr>
          <w:sz w:val="28"/>
        </w:rPr>
        <w:t>edukacja_ekologiczna</w:t>
      </w:r>
      <w:proofErr w:type="spellEnd"/>
      <w:r>
        <w:rPr>
          <w:sz w:val="28"/>
        </w:rPr>
        <w:t xml:space="preserve">, </w:t>
      </w:r>
      <w:proofErr w:type="spellStart"/>
      <w:r>
        <w:rPr>
          <w:sz w:val="28"/>
        </w:rPr>
        <w:t>gospodarka_o_obiegu_zamkniętym</w:t>
      </w:r>
      <w:proofErr w:type="spellEnd"/>
      <w:r>
        <w:rPr>
          <w:sz w:val="28"/>
        </w:rPr>
        <w:t xml:space="preserve">, </w:t>
      </w:r>
      <w:proofErr w:type="spellStart"/>
      <w:r>
        <w:rPr>
          <w:sz w:val="28"/>
        </w:rPr>
        <w:t>gospodarka_odpadami</w:t>
      </w:r>
      <w:proofErr w:type="spellEnd"/>
      <w:r>
        <w:rPr>
          <w:sz w:val="28"/>
        </w:rPr>
        <w:t xml:space="preserve">, kompostowanie, odpady, PSZOK, </w:t>
      </w:r>
      <w:proofErr w:type="spellStart"/>
      <w:r>
        <w:rPr>
          <w:sz w:val="28"/>
        </w:rPr>
        <w:t>punkt_selektywnej_zbiórki_odpadów_komunalnych</w:t>
      </w:r>
      <w:proofErr w:type="spellEnd"/>
      <w:r>
        <w:rPr>
          <w:sz w:val="28"/>
        </w:rPr>
        <w:t xml:space="preserve">, recykling, </w:t>
      </w:r>
      <w:proofErr w:type="spellStart"/>
      <w:r>
        <w:rPr>
          <w:sz w:val="28"/>
        </w:rPr>
        <w:t>segregacja_odpadów</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lastRenderedPageBreak/>
        <w:t>Duże, Małe, Mikro, Średnie</w:t>
      </w:r>
    </w:p>
    <w:p w:rsidR="00202C2D" w:rsidRDefault="004366E5">
      <w:pPr>
        <w:rPr>
          <w:b/>
          <w:sz w:val="28"/>
        </w:rPr>
      </w:pPr>
      <w:r>
        <w:rPr>
          <w:b/>
          <w:sz w:val="28"/>
        </w:rPr>
        <w:t>Wskaźniki produktu</w:t>
      </w:r>
    </w:p>
    <w:p w:rsidR="00202C2D" w:rsidRDefault="004366E5">
      <w:pPr>
        <w:rPr>
          <w:b/>
          <w:sz w:val="28"/>
        </w:rPr>
      </w:pPr>
      <w:r>
        <w:rPr>
          <w:sz w:val="28"/>
        </w:rPr>
        <w:t>WLWK-RCO034 - Dodatkowe zdolności w zakresie recyklingu odpadów</w:t>
      </w:r>
    </w:p>
    <w:p w:rsidR="00202C2D" w:rsidRDefault="004366E5">
      <w:pPr>
        <w:rPr>
          <w:b/>
          <w:sz w:val="28"/>
        </w:rPr>
      </w:pPr>
      <w:r>
        <w:rPr>
          <w:sz w:val="28"/>
        </w:rPr>
        <w:t>WLWK-RCO107 - Inwestycje w obiekty do selektywnego zbierania odpadów</w:t>
      </w:r>
    </w:p>
    <w:p w:rsidR="00202C2D" w:rsidRDefault="004366E5">
      <w:pPr>
        <w:rPr>
          <w:b/>
          <w:sz w:val="28"/>
        </w:rPr>
      </w:pPr>
      <w:r>
        <w:rPr>
          <w:sz w:val="28"/>
        </w:rPr>
        <w:t>WLWK-PLRO063 - Liczba przebudowanych zakładów zagospodarowania odpadów</w:t>
      </w:r>
    </w:p>
    <w:p w:rsidR="00202C2D" w:rsidRDefault="004366E5">
      <w:pPr>
        <w:rPr>
          <w:b/>
          <w:sz w:val="28"/>
        </w:rPr>
      </w:pPr>
      <w:r>
        <w:rPr>
          <w:sz w:val="28"/>
        </w:rPr>
        <w:t>WLWK-PLRO228 - Liczba przeprowadzonych kampanii informacyjno-edukacyjnych w zakresie gospodarki o obiegu zamkniętym </w:t>
      </w:r>
    </w:p>
    <w:p w:rsidR="00202C2D" w:rsidRDefault="004366E5">
      <w:pPr>
        <w:rPr>
          <w:b/>
          <w:sz w:val="28"/>
        </w:rPr>
      </w:pPr>
      <w:r>
        <w:rPr>
          <w:sz w:val="28"/>
        </w:rPr>
        <w:t>WLWK-PLRO180 - Liczba utworzonych Punktów Napraw i Ponownego Użycia</w:t>
      </w:r>
    </w:p>
    <w:p w:rsidR="00202C2D" w:rsidRDefault="004366E5">
      <w:pPr>
        <w:rPr>
          <w:b/>
          <w:sz w:val="28"/>
        </w:rPr>
      </w:pPr>
      <w:r>
        <w:rPr>
          <w:sz w:val="28"/>
        </w:rPr>
        <w:t>WLWK-PLRO236 - Liczba wspartych przedsięwzięć w zakresie zapobiegania powstawaniu odpadów żywności</w:t>
      </w:r>
    </w:p>
    <w:p w:rsidR="00202C2D" w:rsidRDefault="004366E5">
      <w:pPr>
        <w:rPr>
          <w:b/>
          <w:sz w:val="28"/>
        </w:rPr>
      </w:pPr>
      <w:r>
        <w:rPr>
          <w:sz w:val="28"/>
        </w:rPr>
        <w:t>WLWK-PLRO060 - Liczba wspartych punktów selektywnego zbierania odpadów komunalnych (PSZOK)</w:t>
      </w:r>
    </w:p>
    <w:p w:rsidR="00202C2D" w:rsidRDefault="004366E5">
      <w:pPr>
        <w:rPr>
          <w:b/>
          <w:sz w:val="28"/>
        </w:rPr>
      </w:pPr>
      <w:r>
        <w:rPr>
          <w:sz w:val="28"/>
        </w:rPr>
        <w:t>WLWK-PLRO061 - Liczba wspartych zakładów zagospodarowania odpadów</w:t>
      </w:r>
    </w:p>
    <w:p w:rsidR="00202C2D" w:rsidRDefault="004366E5">
      <w:pPr>
        <w:rPr>
          <w:b/>
          <w:sz w:val="28"/>
        </w:rPr>
      </w:pPr>
      <w:r>
        <w:rPr>
          <w:sz w:val="28"/>
        </w:rPr>
        <w:t>WLWK-PLRO062 - Liczba wybudowanych zakładów zagospodarowania odpadów</w:t>
      </w:r>
    </w:p>
    <w:p w:rsidR="00202C2D" w:rsidRDefault="004366E5">
      <w:pPr>
        <w:rPr>
          <w:b/>
          <w:sz w:val="28"/>
        </w:rPr>
      </w:pPr>
      <w:r>
        <w:rPr>
          <w:sz w:val="28"/>
        </w:rPr>
        <w:t>WLWK-PLRO067 - Masa unieszkodliwionych odpadów niebezpiecznych</w:t>
      </w:r>
    </w:p>
    <w:p w:rsidR="00202C2D" w:rsidRDefault="004366E5">
      <w:pPr>
        <w:rPr>
          <w:b/>
          <w:sz w:val="28"/>
        </w:rPr>
      </w:pPr>
      <w:r>
        <w:rPr>
          <w:b/>
          <w:sz w:val="28"/>
        </w:rPr>
        <w:t>Wskaźniki rezultatu</w:t>
      </w:r>
    </w:p>
    <w:p w:rsidR="00202C2D" w:rsidRDefault="004366E5">
      <w:pPr>
        <w:rPr>
          <w:b/>
          <w:sz w:val="28"/>
        </w:rPr>
      </w:pPr>
      <w:r>
        <w:rPr>
          <w:sz w:val="28"/>
        </w:rPr>
        <w:t>WLWK-PLRR066 - Liczba osób, do których zostały skierowane kampanie informacyjno-edukacyjne w zakresie gospodarki o obiegu zamkniętym </w:t>
      </w:r>
    </w:p>
    <w:p w:rsidR="00202C2D" w:rsidRDefault="004366E5">
      <w:pPr>
        <w:rPr>
          <w:b/>
          <w:sz w:val="28"/>
        </w:rPr>
      </w:pPr>
      <w:r>
        <w:rPr>
          <w:sz w:val="28"/>
        </w:rPr>
        <w:t>WLWK-PLRR041 - Masa odpadów zagospodarowana w procesach innych niż recykling</w:t>
      </w:r>
    </w:p>
    <w:p w:rsidR="00202C2D" w:rsidRDefault="004366E5">
      <w:pPr>
        <w:rPr>
          <w:b/>
          <w:sz w:val="28"/>
        </w:rPr>
      </w:pPr>
      <w:r>
        <w:rPr>
          <w:sz w:val="28"/>
        </w:rPr>
        <w:t>WLWK-PLRR040 - Masa przedmiotów przekazanych do Punktów Napraw i Ponownego Użycia</w:t>
      </w:r>
    </w:p>
    <w:p w:rsidR="00202C2D" w:rsidRDefault="004366E5">
      <w:pPr>
        <w:rPr>
          <w:b/>
          <w:sz w:val="28"/>
        </w:rPr>
      </w:pPr>
      <w:r>
        <w:rPr>
          <w:sz w:val="28"/>
        </w:rPr>
        <w:t>WLWK-PLRR070 - Masa żywności zebrana dodatkowo w związku z realizacją wspartych przedsięwzięć</w:t>
      </w:r>
    </w:p>
    <w:p w:rsidR="00202C2D" w:rsidRDefault="004366E5">
      <w:pPr>
        <w:rPr>
          <w:b/>
          <w:sz w:val="28"/>
        </w:rPr>
      </w:pPr>
      <w:r>
        <w:rPr>
          <w:sz w:val="28"/>
        </w:rPr>
        <w:lastRenderedPageBreak/>
        <w:t>WLWK-RCR047 - Odpady poddane recyklingowi</w:t>
      </w:r>
    </w:p>
    <w:p w:rsidR="00202C2D" w:rsidRDefault="004366E5">
      <w:pPr>
        <w:rPr>
          <w:b/>
          <w:sz w:val="28"/>
        </w:rPr>
      </w:pPr>
      <w:r>
        <w:rPr>
          <w:sz w:val="28"/>
        </w:rPr>
        <w:t>WLWK-RCR103 - Odpady zbierane selektywnie</w:t>
      </w:r>
    </w:p>
    <w:p w:rsidR="00202C2D" w:rsidRDefault="00202C2D">
      <w:pPr>
        <w:rPr>
          <w:b/>
          <w:sz w:val="28"/>
        </w:rPr>
      </w:pPr>
    </w:p>
    <w:p w:rsidR="00202C2D" w:rsidRDefault="004366E5">
      <w:pPr>
        <w:pStyle w:val="Nagwek2"/>
        <w:rPr>
          <w:rFonts w:ascii="Calibri" w:hAnsi="Calibri" w:cs="Calibri"/>
          <w:i w:val="0"/>
          <w:sz w:val="32"/>
        </w:rPr>
      </w:pPr>
      <w:bookmarkStart w:id="6" w:name="_Toc132713991"/>
      <w:r>
        <w:rPr>
          <w:rFonts w:ascii="Calibri" w:hAnsi="Calibri" w:cs="Calibri"/>
          <w:i w:val="0"/>
          <w:sz w:val="32"/>
        </w:rPr>
        <w:t>Priorytet FEPM.03 Fundusze europejskie dla mobilnego Pomorza</w:t>
      </w:r>
      <w:bookmarkEnd w:id="6"/>
    </w:p>
    <w:p w:rsidR="00202C2D" w:rsidRDefault="00202C2D">
      <w:pPr>
        <w:rPr>
          <w:rFonts w:ascii="Calibri" w:hAnsi="Calibri"/>
          <w:sz w:val="32"/>
        </w:rPr>
      </w:pPr>
    </w:p>
    <w:p w:rsidR="00202C2D" w:rsidRDefault="004366E5">
      <w:pPr>
        <w:rPr>
          <w:b/>
          <w:sz w:val="28"/>
        </w:rPr>
      </w:pPr>
      <w:r>
        <w:rPr>
          <w:b/>
          <w:sz w:val="28"/>
        </w:rPr>
        <w:t>Instytucja Zarządzająca</w:t>
      </w:r>
    </w:p>
    <w:p w:rsidR="00202C2D" w:rsidRDefault="004366E5">
      <w:pPr>
        <w:rPr>
          <w:b/>
          <w:sz w:val="28"/>
        </w:rPr>
      </w:pPr>
      <w:r>
        <w:rPr>
          <w:sz w:val="28"/>
        </w:rPr>
        <w:t>Urząd Marszałkowski Województwa Pomorskiego</w:t>
      </w:r>
    </w:p>
    <w:p w:rsidR="00202C2D" w:rsidRDefault="004366E5">
      <w:pPr>
        <w:rPr>
          <w:b/>
          <w:sz w:val="28"/>
        </w:rPr>
      </w:pPr>
      <w:r>
        <w:rPr>
          <w:b/>
          <w:sz w:val="28"/>
        </w:rPr>
        <w:t>Fundusz</w:t>
      </w:r>
    </w:p>
    <w:p w:rsidR="00202C2D" w:rsidRDefault="004366E5">
      <w:pPr>
        <w:rPr>
          <w:b/>
          <w:sz w:val="28"/>
        </w:rPr>
      </w:pPr>
      <w:r>
        <w:rPr>
          <w:sz w:val="28"/>
        </w:rPr>
        <w:t>Europejski Fundusz Rozwoju Regionalnego</w:t>
      </w:r>
    </w:p>
    <w:p w:rsidR="00202C2D" w:rsidRDefault="004366E5">
      <w:pPr>
        <w:rPr>
          <w:b/>
          <w:sz w:val="28"/>
        </w:rPr>
      </w:pPr>
      <w:r>
        <w:rPr>
          <w:b/>
          <w:sz w:val="28"/>
        </w:rPr>
        <w:t>Cel Polityki</w:t>
      </w:r>
    </w:p>
    <w:p w:rsidR="00202C2D" w:rsidRDefault="004366E5">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202C2D" w:rsidRDefault="004366E5">
      <w:pPr>
        <w:rPr>
          <w:b/>
          <w:sz w:val="28"/>
        </w:rPr>
      </w:pPr>
      <w:r>
        <w:rPr>
          <w:b/>
          <w:sz w:val="28"/>
        </w:rPr>
        <w:t>Miejsce realizacji</w:t>
      </w:r>
    </w:p>
    <w:p w:rsidR="00202C2D" w:rsidRDefault="004366E5">
      <w:pPr>
        <w:rPr>
          <w:b/>
          <w:sz w:val="28"/>
        </w:rPr>
      </w:pPr>
      <w:r>
        <w:rPr>
          <w:sz w:val="28"/>
        </w:rPr>
        <w:t>POMORSKIE</w:t>
      </w:r>
    </w:p>
    <w:p w:rsidR="00202C2D" w:rsidRDefault="004366E5">
      <w:pPr>
        <w:rPr>
          <w:b/>
          <w:sz w:val="28"/>
        </w:rPr>
      </w:pPr>
      <w:r>
        <w:rPr>
          <w:b/>
          <w:sz w:val="28"/>
        </w:rPr>
        <w:t>Wysokość alokacji UE (EUR)</w:t>
      </w:r>
    </w:p>
    <w:p w:rsidR="00202C2D" w:rsidRDefault="004366E5">
      <w:pPr>
        <w:rPr>
          <w:b/>
          <w:sz w:val="28"/>
        </w:rPr>
      </w:pPr>
      <w:r>
        <w:rPr>
          <w:sz w:val="28"/>
        </w:rPr>
        <w:t>148 412 027,00</w:t>
      </w:r>
    </w:p>
    <w:p w:rsidR="00202C2D" w:rsidRDefault="00202C2D">
      <w:pPr>
        <w:rPr>
          <w:b/>
          <w:sz w:val="28"/>
        </w:rPr>
      </w:pPr>
    </w:p>
    <w:p w:rsidR="00202C2D" w:rsidRDefault="004366E5">
      <w:pPr>
        <w:pStyle w:val="Nagwek3"/>
        <w:rPr>
          <w:rFonts w:ascii="Calibri" w:hAnsi="Calibri" w:cs="Calibri"/>
          <w:sz w:val="32"/>
        </w:rPr>
      </w:pPr>
      <w:bookmarkStart w:id="7" w:name="_Toc132713992"/>
      <w:r>
        <w:rPr>
          <w:rFonts w:ascii="Calibri" w:hAnsi="Calibri" w:cs="Calibri"/>
          <w:sz w:val="32"/>
        </w:rPr>
        <w:t>Działanie FEPM.03.01 Mobilność miejska</w:t>
      </w:r>
      <w:bookmarkEnd w:id="7"/>
    </w:p>
    <w:p w:rsidR="00202C2D" w:rsidRDefault="00202C2D">
      <w:pPr>
        <w:rPr>
          <w:rFonts w:ascii="Calibri" w:hAnsi="Calibri"/>
          <w:sz w:val="32"/>
        </w:rPr>
      </w:pPr>
    </w:p>
    <w:p w:rsidR="00202C2D" w:rsidRDefault="004366E5">
      <w:pPr>
        <w:rPr>
          <w:b/>
          <w:sz w:val="28"/>
        </w:rPr>
      </w:pPr>
      <w:r>
        <w:rPr>
          <w:b/>
          <w:sz w:val="28"/>
        </w:rPr>
        <w:lastRenderedPageBreak/>
        <w:t>Cel szczegółowy</w:t>
      </w:r>
    </w:p>
    <w:p w:rsidR="00202C2D" w:rsidRDefault="004366E5">
      <w:pPr>
        <w:rPr>
          <w:b/>
          <w:sz w:val="28"/>
        </w:rPr>
      </w:pPr>
      <w:r>
        <w:rPr>
          <w:sz w:val="28"/>
        </w:rPr>
        <w:t>EFRR/FS.CP2.VIII - Wspieranie zrównoważonej multimodalnej mobilności miejskiej jako elementu transformacji w kierunku gospodarki zeroemisyjnej</w:t>
      </w:r>
    </w:p>
    <w:p w:rsidR="00202C2D" w:rsidRDefault="004366E5">
      <w:pPr>
        <w:rPr>
          <w:b/>
          <w:sz w:val="28"/>
        </w:rPr>
      </w:pPr>
      <w:r>
        <w:rPr>
          <w:b/>
          <w:sz w:val="28"/>
        </w:rPr>
        <w:t>Wysokość alokacji UE (EUR)</w:t>
      </w:r>
    </w:p>
    <w:p w:rsidR="00202C2D" w:rsidRDefault="004366E5">
      <w:pPr>
        <w:rPr>
          <w:b/>
          <w:sz w:val="28"/>
        </w:rPr>
      </w:pPr>
      <w:r>
        <w:rPr>
          <w:sz w:val="28"/>
        </w:rPr>
        <w:t>12 004 348,00</w:t>
      </w:r>
    </w:p>
    <w:p w:rsidR="00202C2D" w:rsidRDefault="004366E5">
      <w:pPr>
        <w:rPr>
          <w:b/>
          <w:sz w:val="28"/>
        </w:rPr>
      </w:pPr>
      <w:r>
        <w:rPr>
          <w:b/>
          <w:sz w:val="28"/>
        </w:rPr>
        <w:t>Zakres interwencji</w:t>
      </w:r>
    </w:p>
    <w:p w:rsidR="00202C2D" w:rsidRDefault="004366E5">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202C2D" w:rsidRDefault="004366E5">
      <w:pPr>
        <w:rPr>
          <w:b/>
          <w:sz w:val="28"/>
        </w:rPr>
      </w:pPr>
      <w:r>
        <w:rPr>
          <w:b/>
          <w:sz w:val="28"/>
        </w:rPr>
        <w:t>Opis działania</w:t>
      </w:r>
    </w:p>
    <w:p w:rsidR="00202C2D" w:rsidRDefault="004366E5">
      <w:pPr>
        <w:rPr>
          <w:b/>
          <w:sz w:val="28"/>
        </w:rPr>
      </w:pPr>
      <w:r>
        <w:rPr>
          <w:sz w:val="28"/>
        </w:rP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p>
    <w:p w:rsidR="00202C2D" w:rsidRDefault="004366E5">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202C2D" w:rsidRDefault="004366E5">
      <w:pPr>
        <w:rPr>
          <w:b/>
          <w:sz w:val="28"/>
        </w:rPr>
      </w:pPr>
      <w:r>
        <w:rPr>
          <w:sz w:val="28"/>
        </w:rPr>
        <w:t>Typy projektów:</w:t>
      </w:r>
    </w:p>
    <w:p w:rsidR="00202C2D" w:rsidRDefault="004366E5">
      <w:pPr>
        <w:rPr>
          <w:b/>
          <w:sz w:val="28"/>
        </w:rPr>
      </w:pPr>
      <w:r>
        <w:rPr>
          <w:sz w:val="28"/>
        </w:rPr>
        <w:t>1. Budowa, rozbudowa i przebudowa infrastruktury składającej się na węzeł integracyjny lub przystanek zintegrowany takiej jak:</w:t>
      </w:r>
    </w:p>
    <w:p w:rsidR="00202C2D" w:rsidRDefault="004366E5">
      <w:pPr>
        <w:rPr>
          <w:b/>
          <w:sz w:val="28"/>
        </w:rPr>
      </w:pPr>
      <w:r>
        <w:rPr>
          <w:sz w:val="28"/>
        </w:rPr>
        <w:t>a) punktowa infrastruktura transportu zbiorowego służąca powiązaniu jego różnych form: m.in. pętle autobusowe;</w:t>
      </w:r>
    </w:p>
    <w:p w:rsidR="00202C2D" w:rsidRDefault="004366E5">
      <w:pPr>
        <w:rPr>
          <w:b/>
          <w:sz w:val="28"/>
        </w:rPr>
      </w:pPr>
      <w:r>
        <w:rPr>
          <w:sz w:val="28"/>
        </w:rPr>
        <w:lastRenderedPageBreak/>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202C2D" w:rsidRDefault="004366E5">
      <w:pPr>
        <w:rPr>
          <w:b/>
          <w:sz w:val="28"/>
        </w:rPr>
      </w:pPr>
      <w:r>
        <w:rPr>
          <w:sz w:val="28"/>
        </w:rPr>
        <w:t xml:space="preserve">c) dworce kolejowe, autobusowe lub inne obiekty obsługi podróżnych; </w:t>
      </w:r>
    </w:p>
    <w:p w:rsidR="00202C2D" w:rsidRDefault="004366E5">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202C2D" w:rsidRDefault="004366E5">
      <w:pPr>
        <w:rPr>
          <w:b/>
          <w:sz w:val="28"/>
        </w:rPr>
      </w:pPr>
      <w:r>
        <w:rPr>
          <w:sz w:val="28"/>
        </w:rPr>
        <w:t>2. Budowa, rozbudowa i przebudowa liniowej infrastruktury transportu autobusowego, w tym pętli, wydzielonych pasów ruchu (buspasów), zatok przystankowych;</w:t>
      </w:r>
    </w:p>
    <w:p w:rsidR="00202C2D" w:rsidRDefault="004366E5">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202C2D" w:rsidRDefault="004366E5">
      <w:pPr>
        <w:rPr>
          <w:b/>
          <w:sz w:val="28"/>
        </w:rPr>
      </w:pPr>
      <w:r>
        <w:rPr>
          <w:sz w:val="28"/>
        </w:rPr>
        <w:t>4. Zakup zero i niskoemisyjnego taboru publicznego transportu zbiorowego np. autobusów;</w:t>
      </w:r>
    </w:p>
    <w:p w:rsidR="00202C2D" w:rsidRDefault="004366E5">
      <w:pPr>
        <w:rPr>
          <w:b/>
          <w:sz w:val="28"/>
        </w:rPr>
      </w:pPr>
      <w:r>
        <w:rPr>
          <w:sz w:val="28"/>
        </w:rPr>
        <w:t xml:space="preserve">5. Rozwój infrastruktury ładowania i tankowania pojazdów zeroemisyjnych; </w:t>
      </w:r>
    </w:p>
    <w:p w:rsidR="00202C2D" w:rsidRDefault="004366E5">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202C2D" w:rsidRDefault="004366E5">
      <w:pPr>
        <w:rPr>
          <w:b/>
          <w:sz w:val="28"/>
        </w:rPr>
      </w:pPr>
      <w:r>
        <w:rPr>
          <w:sz w:val="28"/>
        </w:rPr>
        <w:t xml:space="preserve">a) systemów zarządzania transportem zbiorowym (w tym systemów sterowania ruchem pojazdów transportu zbiorowego); </w:t>
      </w:r>
    </w:p>
    <w:p w:rsidR="00202C2D" w:rsidRDefault="004366E5">
      <w:pPr>
        <w:rPr>
          <w:b/>
          <w:sz w:val="28"/>
        </w:rPr>
      </w:pPr>
      <w:r>
        <w:rPr>
          <w:sz w:val="28"/>
        </w:rPr>
        <w:t xml:space="preserve">b) systemów monitoringu transportu zbiorowego i przystanków (m.in. systemów monitorowania bezpieczeństwa pasażerów); </w:t>
      </w:r>
    </w:p>
    <w:p w:rsidR="00202C2D" w:rsidRDefault="004366E5">
      <w:pPr>
        <w:rPr>
          <w:b/>
          <w:sz w:val="28"/>
        </w:rPr>
      </w:pPr>
      <w:r>
        <w:rPr>
          <w:sz w:val="28"/>
        </w:rPr>
        <w:t xml:space="preserve">c) systemów informacji dla pasażerów transportu zbiorowego; </w:t>
      </w:r>
    </w:p>
    <w:p w:rsidR="00202C2D" w:rsidRDefault="004366E5">
      <w:pPr>
        <w:rPr>
          <w:b/>
          <w:sz w:val="28"/>
        </w:rPr>
      </w:pPr>
      <w:r>
        <w:rPr>
          <w:sz w:val="28"/>
        </w:rPr>
        <w:t xml:space="preserve">d) systemów organizacji przewozów, w tym elektronicznych systemów pobierania opłat (bilet elektroniczny); </w:t>
      </w:r>
    </w:p>
    <w:p w:rsidR="00202C2D" w:rsidRDefault="004366E5">
      <w:pPr>
        <w:rPr>
          <w:b/>
          <w:sz w:val="28"/>
        </w:rPr>
      </w:pPr>
      <w:r>
        <w:rPr>
          <w:sz w:val="28"/>
        </w:rPr>
        <w:t xml:space="preserve">e) aplikacji do planowania podróży. </w:t>
      </w:r>
    </w:p>
    <w:p w:rsidR="00202C2D" w:rsidRDefault="004366E5">
      <w:pPr>
        <w:rPr>
          <w:b/>
          <w:sz w:val="28"/>
        </w:rPr>
      </w:pPr>
      <w:r>
        <w:rPr>
          <w:sz w:val="28"/>
        </w:rPr>
        <w:lastRenderedPageBreak/>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202C2D" w:rsidRDefault="004366E5">
      <w:pPr>
        <w:rPr>
          <w:b/>
          <w:sz w:val="28"/>
        </w:rPr>
      </w:pPr>
      <w:r>
        <w:rPr>
          <w:sz w:val="28"/>
        </w:rPr>
        <w:t>Najważniejsze warunki realizacji projektów:</w:t>
      </w:r>
    </w:p>
    <w:p w:rsidR="00202C2D" w:rsidRDefault="004366E5">
      <w:pPr>
        <w:rPr>
          <w:b/>
          <w:sz w:val="28"/>
        </w:rPr>
      </w:pPr>
      <w:r>
        <w:rPr>
          <w:sz w:val="28"/>
        </w:rPr>
        <w:t>1. Projekty muszą być zgodne z zapisami Regionalnego Programu Strategicznego w zakresie mobilności i komunikacji, stanowiącego „Regionalny Plan Transportowy dla Województwa Pomorskiego 2030”;</w:t>
      </w:r>
    </w:p>
    <w:p w:rsidR="00202C2D" w:rsidRDefault="004366E5">
      <w:pPr>
        <w:rPr>
          <w:b/>
          <w:sz w:val="28"/>
        </w:rPr>
      </w:pPr>
      <w:r>
        <w:rPr>
          <w:sz w:val="28"/>
        </w:rPr>
        <w:t>2. Projekty muszą być zgodne z dokumentem dotyczącym planowania mobilności przyjętym dla obszaru, na którym realizowana jest inwestycja;</w:t>
      </w:r>
    </w:p>
    <w:p w:rsidR="00202C2D" w:rsidRDefault="004366E5">
      <w:pPr>
        <w:rPr>
          <w:b/>
          <w:sz w:val="28"/>
        </w:rPr>
      </w:pPr>
      <w:r>
        <w:rPr>
          <w:sz w:val="28"/>
        </w:rPr>
        <w:t xml:space="preserve">3. Podatek VAT w projekcie jest niekwalifikowalny; </w:t>
      </w:r>
    </w:p>
    <w:p w:rsidR="00202C2D" w:rsidRDefault="004366E5">
      <w:pPr>
        <w:rPr>
          <w:b/>
          <w:sz w:val="28"/>
        </w:rPr>
      </w:pPr>
      <w:r>
        <w:rPr>
          <w:sz w:val="28"/>
        </w:rPr>
        <w:t>4.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202C2D" w:rsidRDefault="004366E5">
      <w:pPr>
        <w:rPr>
          <w:b/>
          <w:sz w:val="28"/>
        </w:rPr>
      </w:pPr>
      <w:r>
        <w:rPr>
          <w:sz w:val="28"/>
        </w:rPr>
        <w:t xml:space="preserve">5. Dla pierwszego typu projektu: </w:t>
      </w:r>
    </w:p>
    <w:p w:rsidR="00202C2D" w:rsidRDefault="004366E5">
      <w:pPr>
        <w:rPr>
          <w:b/>
          <w:sz w:val="28"/>
        </w:rPr>
      </w:pPr>
      <w:r>
        <w:rPr>
          <w:sz w:val="28"/>
        </w:rPr>
        <w:t>- nowe węzły integracyjne lub przystanki zintegrowane muszą być zlokalizowane poza obszarami centralnymi miast;</w:t>
      </w:r>
    </w:p>
    <w:p w:rsidR="00202C2D" w:rsidRDefault="004366E5">
      <w:pPr>
        <w:rPr>
          <w:b/>
          <w:sz w:val="28"/>
        </w:rPr>
      </w:pPr>
      <w:r>
        <w:rPr>
          <w:sz w:val="28"/>
        </w:rPr>
        <w:lastRenderedPageBreak/>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202C2D" w:rsidRDefault="004366E5">
      <w:pPr>
        <w:rPr>
          <w:b/>
          <w:sz w:val="28"/>
        </w:rPr>
      </w:pPr>
      <w:r>
        <w:rPr>
          <w:sz w:val="28"/>
        </w:rPr>
        <w:t xml:space="preserve">- budowa i rozbudowa obiektów typu „parkuj i jedź” może być realizowana wyłącznie poza obszarami centralnymi miast. </w:t>
      </w:r>
    </w:p>
    <w:p w:rsidR="00202C2D" w:rsidRDefault="004366E5">
      <w:pPr>
        <w:rPr>
          <w:b/>
          <w:sz w:val="28"/>
        </w:rPr>
      </w:pPr>
      <w:r>
        <w:rPr>
          <w:sz w:val="28"/>
        </w:rPr>
        <w:t>6. Dla drugiego typu projektu:</w:t>
      </w:r>
    </w:p>
    <w:p w:rsidR="00202C2D" w:rsidRDefault="004366E5">
      <w:pPr>
        <w:rPr>
          <w:b/>
          <w:sz w:val="28"/>
        </w:rPr>
      </w:pPr>
      <w:r>
        <w:rPr>
          <w:sz w:val="28"/>
        </w:rPr>
        <w:t>- budowana, rozbudowywana lub przebudowywana sieć drogowa na potrzeby linii autobusowych nie może być wykorzystywana dla indywidualnego ruchu samochodowego.</w:t>
      </w:r>
    </w:p>
    <w:p w:rsidR="00202C2D" w:rsidRDefault="004366E5">
      <w:pPr>
        <w:rPr>
          <w:b/>
          <w:sz w:val="28"/>
        </w:rPr>
      </w:pPr>
      <w:r>
        <w:rPr>
          <w:sz w:val="28"/>
        </w:rPr>
        <w:t xml:space="preserve">7. Dla trzeciego typu projektu: </w:t>
      </w:r>
    </w:p>
    <w:p w:rsidR="00202C2D" w:rsidRDefault="004366E5">
      <w:pPr>
        <w:rPr>
          <w:b/>
          <w:sz w:val="28"/>
        </w:rPr>
      </w:pPr>
      <w:r>
        <w:rPr>
          <w:sz w:val="28"/>
        </w:rPr>
        <w:t>- infrastruktura transportu rowerowego, pieszego i pieszo-rowerowego może być realizowana na obszarze o promieniu 3 km od węzła integracyjnego.</w:t>
      </w:r>
    </w:p>
    <w:p w:rsidR="00202C2D" w:rsidRDefault="004366E5">
      <w:pPr>
        <w:rPr>
          <w:b/>
          <w:sz w:val="28"/>
        </w:rPr>
      </w:pPr>
      <w:r>
        <w:rPr>
          <w:sz w:val="28"/>
        </w:rPr>
        <w:t xml:space="preserve">8. Dla czwartego typu projektu: </w:t>
      </w:r>
    </w:p>
    <w:p w:rsidR="00202C2D" w:rsidRDefault="004366E5">
      <w:pPr>
        <w:rPr>
          <w:b/>
          <w:sz w:val="28"/>
        </w:rPr>
      </w:pPr>
      <w:r>
        <w:rPr>
          <w:sz w:val="28"/>
        </w:rPr>
        <w:t>- pojazdy niskoemisyjne muszą spełniać wymogi dla ekologicznie czystych pojazdów w rozumieniu dyrektywy Parlamentu Europejskiego i Rady 2009/33/WE.</w:t>
      </w:r>
    </w:p>
    <w:p w:rsidR="00202C2D" w:rsidRDefault="004366E5">
      <w:pPr>
        <w:rPr>
          <w:b/>
          <w:sz w:val="28"/>
        </w:rPr>
      </w:pPr>
      <w:r>
        <w:rPr>
          <w:sz w:val="28"/>
        </w:rPr>
        <w:t>9. Dla piątego typu projektu:</w:t>
      </w:r>
    </w:p>
    <w:p w:rsidR="00202C2D" w:rsidRDefault="004366E5">
      <w:pPr>
        <w:rPr>
          <w:b/>
          <w:sz w:val="28"/>
        </w:rPr>
      </w:pPr>
      <w:r>
        <w:rPr>
          <w:sz w:val="28"/>
        </w:rPr>
        <w:t xml:space="preserve">- infrastruktura może być realizowana jedynie w przypadku braku możliwości finansowania jej ze źródeł prywatnych; </w:t>
      </w:r>
    </w:p>
    <w:p w:rsidR="00202C2D" w:rsidRDefault="004366E5">
      <w:pPr>
        <w:rPr>
          <w:b/>
          <w:sz w:val="28"/>
        </w:rPr>
      </w:pPr>
      <w:r>
        <w:rPr>
          <w:sz w:val="28"/>
        </w:rPr>
        <w:t xml:space="preserve">- w przypadku infrastruktury dla użytkowników indywidualnych - należy zapewnić niedyskryminacyjny dostęp dla wszystkich użytkowników. </w:t>
      </w:r>
    </w:p>
    <w:p w:rsidR="00202C2D" w:rsidRDefault="004366E5">
      <w:pPr>
        <w:rPr>
          <w:b/>
          <w:sz w:val="28"/>
        </w:rPr>
      </w:pPr>
      <w:r>
        <w:rPr>
          <w:sz w:val="28"/>
        </w:rPr>
        <w:t>10. Dla szóstego typu projektu:</w:t>
      </w:r>
    </w:p>
    <w:p w:rsidR="00202C2D" w:rsidRDefault="004366E5">
      <w:pPr>
        <w:rPr>
          <w:b/>
          <w:sz w:val="28"/>
        </w:rPr>
      </w:pPr>
      <w:r>
        <w:rPr>
          <w:sz w:val="28"/>
        </w:rPr>
        <w:t xml:space="preserve">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w:t>
      </w:r>
      <w:r>
        <w:rPr>
          <w:sz w:val="28"/>
        </w:rPr>
        <w:lastRenderedPageBreak/>
        <w:t>lokalnym – budowa elektronicznej Platformy Zintegrowanych Usług Mobilności (FALA)”.</w:t>
      </w:r>
    </w:p>
    <w:p w:rsidR="00202C2D" w:rsidRDefault="004366E5">
      <w:pPr>
        <w:rPr>
          <w:b/>
          <w:sz w:val="28"/>
        </w:rPr>
      </w:pPr>
      <w:r>
        <w:rPr>
          <w:sz w:val="28"/>
        </w:rPr>
        <w:t>11. Działania realizowane w ramach siódmego typu projektu mogą stanowić osobny projekt jedynie w przypadku, gdy stanowią kompleksowe przedsięwzięcia edukacyjne prowadzone na terenie całego województwa.</w:t>
      </w:r>
    </w:p>
    <w:p w:rsidR="00202C2D" w:rsidRDefault="004366E5">
      <w:pPr>
        <w:rPr>
          <w:b/>
          <w:sz w:val="28"/>
        </w:rPr>
      </w:pPr>
      <w:r>
        <w:rPr>
          <w:sz w:val="28"/>
        </w:rPr>
        <w:t>12. Przedsiębiorcy mogą ubiegać się o dofinansowanie wyłącznie w ramach piątego typu projektu jako partnerzy w projektach realizowanych przez administrację publiczną.</w:t>
      </w:r>
    </w:p>
    <w:p w:rsidR="00202C2D" w:rsidRDefault="004366E5">
      <w:pPr>
        <w:rPr>
          <w:b/>
          <w:sz w:val="28"/>
        </w:rPr>
      </w:pPr>
      <w:r>
        <w:rPr>
          <w:sz w:val="28"/>
        </w:rPr>
        <w:t>Ukierunkowanie terytorialne:</w:t>
      </w:r>
    </w:p>
    <w:p w:rsidR="00202C2D" w:rsidRDefault="004366E5">
      <w:pPr>
        <w:rPr>
          <w:b/>
          <w:sz w:val="28"/>
        </w:rPr>
      </w:pPr>
      <w:r>
        <w:rPr>
          <w:sz w:val="28"/>
        </w:rPr>
        <w:t>- gminy: Czersk, Łeba, Miastko, Pelplin (o ile nie są uprawnione do wsparcia w Działaniach 3.2. i 3.3.) – wszystkie typy projektów wskazane powyżej;</w:t>
      </w:r>
    </w:p>
    <w:p w:rsidR="00202C2D" w:rsidRDefault="004366E5">
      <w:pPr>
        <w:rPr>
          <w:b/>
          <w:sz w:val="28"/>
        </w:rPr>
      </w:pPr>
      <w:r>
        <w:rPr>
          <w:sz w:val="28"/>
        </w:rPr>
        <w:t>- gminy: Brusy i Kępice (o ile nie są uprawnione do wsparcia w Działaniach 3.2. i 3.3.) – pierwszy, drugi, czwarty, piąty, szósty i siódmy z typów projektów wskazanych powyżej;</w:t>
      </w:r>
    </w:p>
    <w:p w:rsidR="00202C2D" w:rsidRDefault="004366E5">
      <w:pPr>
        <w:rPr>
          <w:b/>
          <w:sz w:val="28"/>
        </w:rPr>
      </w:pPr>
      <w:r>
        <w:rPr>
          <w:sz w:val="28"/>
        </w:rPr>
        <w:t>- gminy: Nowy Dwór Gdański i Prabuty (o ile nie są uprawnione do wsparcia w Działaniach 3.2. i 3.3.) – trzeci, czwarty, szósty i siódmy z typów projektów wskazanych powyżej;</w:t>
      </w:r>
    </w:p>
    <w:p w:rsidR="00202C2D" w:rsidRDefault="004366E5">
      <w:pPr>
        <w:rPr>
          <w:b/>
          <w:sz w:val="28"/>
        </w:rPr>
      </w:pPr>
      <w:r>
        <w:rPr>
          <w:sz w:val="28"/>
        </w:rPr>
        <w:t>- gminy: Czarna Woda, Czarne, Debrzno, Dzierzgoń, Gniew, Krynica Morska, Skarszewy, Skórcz (o ile nie są uprawnione do wsparcia w Działaniach 3.2 i 3.3.) – czwarty, szósty i siódmy z typów projektów wskazanych powyżej;</w:t>
      </w:r>
    </w:p>
    <w:p w:rsidR="00202C2D" w:rsidRDefault="004366E5">
      <w:pPr>
        <w:rPr>
          <w:b/>
          <w:sz w:val="28"/>
        </w:rPr>
      </w:pPr>
      <w:r>
        <w:rPr>
          <w:sz w:val="28"/>
        </w:rPr>
        <w:t>- obszar całego województwa – wyłącznie w przypadku 7 typu projektu.</w:t>
      </w:r>
    </w:p>
    <w:p w:rsidR="00202C2D" w:rsidRDefault="004366E5">
      <w:pPr>
        <w:rPr>
          <w:b/>
          <w:sz w:val="28"/>
        </w:rPr>
      </w:pPr>
      <w:r>
        <w:rPr>
          <w:sz w:val="28"/>
        </w:rPr>
        <w:t xml:space="preserve">Preferowane będą projekty: </w:t>
      </w:r>
    </w:p>
    <w:p w:rsidR="00202C2D" w:rsidRDefault="004366E5">
      <w:pPr>
        <w:rPr>
          <w:b/>
          <w:sz w:val="28"/>
        </w:rPr>
      </w:pPr>
      <w:r>
        <w:rPr>
          <w:sz w:val="28"/>
        </w:rPr>
        <w:t>- uzgodnione w ramach Zintegrowanych Porozumień Terytorialnych;</w:t>
      </w:r>
    </w:p>
    <w:p w:rsidR="00202C2D" w:rsidRDefault="004366E5">
      <w:pPr>
        <w:rPr>
          <w:b/>
          <w:sz w:val="28"/>
        </w:rPr>
      </w:pPr>
      <w:r>
        <w:rPr>
          <w:sz w:val="28"/>
        </w:rPr>
        <w:t>- powiązane z wprowadzaniem integracji taryfowej oraz wdrażaniem koncepcji „Mobilność jako usługa” (</w:t>
      </w:r>
      <w:proofErr w:type="spellStart"/>
      <w:r>
        <w:rPr>
          <w:sz w:val="28"/>
        </w:rPr>
        <w:t>MaaS</w:t>
      </w:r>
      <w:proofErr w:type="spellEnd"/>
      <w:r>
        <w:rPr>
          <w:sz w:val="28"/>
        </w:rPr>
        <w:t>);</w:t>
      </w:r>
    </w:p>
    <w:p w:rsidR="00202C2D" w:rsidRDefault="004366E5">
      <w:pPr>
        <w:rPr>
          <w:b/>
          <w:sz w:val="28"/>
        </w:rPr>
      </w:pPr>
      <w:r>
        <w:rPr>
          <w:sz w:val="28"/>
        </w:rPr>
        <w:t>- uwzględniające działania wyrównujące szanse grup zagrożonych dyskryminacją;</w:t>
      </w:r>
    </w:p>
    <w:p w:rsidR="00202C2D" w:rsidRDefault="004366E5">
      <w:pPr>
        <w:rPr>
          <w:b/>
          <w:sz w:val="28"/>
        </w:rPr>
      </w:pPr>
      <w:r>
        <w:rPr>
          <w:sz w:val="28"/>
        </w:rPr>
        <w:lastRenderedPageBreak/>
        <w:t>- zgodne z Planem Zrównoważonej Mobilności Miejskiej (SUMP) dla właściwego względem miejsca inwestycji miejskiego obszaru funkcjonalnego:</w:t>
      </w:r>
    </w:p>
    <w:p w:rsidR="00202C2D" w:rsidRDefault="004366E5">
      <w:pPr>
        <w:rPr>
          <w:b/>
          <w:sz w:val="28"/>
        </w:rPr>
      </w:pPr>
      <w:r>
        <w:rPr>
          <w:sz w:val="28"/>
        </w:rPr>
        <w:t>• sporządzonym zgodnie z wymogami określonymi we właściwym Komunikacie Komisji dotyczącym SUMP oraz rozporządzeniem UE w sprawie sieci TEN-T;</w:t>
      </w:r>
    </w:p>
    <w:p w:rsidR="00202C2D" w:rsidRDefault="004366E5">
      <w:pPr>
        <w:rPr>
          <w:b/>
          <w:sz w:val="28"/>
        </w:rPr>
      </w:pPr>
      <w:r>
        <w:rPr>
          <w:sz w:val="28"/>
        </w:rPr>
        <w:t>• przyjętym przez organ właściwy terytorialnie oraz rzeczowo, w formie zapewniającej jego praktyczną realizację.</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lastRenderedPageBreak/>
        <w:t>Pomoc publiczna – krajowa podstawa prawna</w:t>
      </w:r>
    </w:p>
    <w:p w:rsidR="00202C2D" w:rsidRDefault="004366E5">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Minimalna wartość projektu</w:t>
      </w:r>
    </w:p>
    <w:p w:rsidR="00202C2D" w:rsidRDefault="004366E5">
      <w:pPr>
        <w:rPr>
          <w:b/>
          <w:sz w:val="28"/>
        </w:rPr>
      </w:pPr>
      <w:r>
        <w:rPr>
          <w:sz w:val="28"/>
        </w:rPr>
        <w:t>1 000 000,00</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Przedsiębiorstwa, Przedsiębiorstwa realizujące cele publiczne, Służby publiczne</w:t>
      </w:r>
    </w:p>
    <w:p w:rsidR="00202C2D" w:rsidRDefault="004366E5">
      <w:pPr>
        <w:rPr>
          <w:b/>
          <w:sz w:val="28"/>
        </w:rPr>
      </w:pPr>
      <w:r>
        <w:rPr>
          <w:b/>
          <w:sz w:val="28"/>
        </w:rPr>
        <w:t>Typ beneficjenta – szczegółowy</w:t>
      </w:r>
    </w:p>
    <w:p w:rsidR="00202C2D" w:rsidRDefault="004366E5">
      <w:pPr>
        <w:rPr>
          <w:b/>
          <w:sz w:val="28"/>
        </w:rPr>
      </w:pPr>
      <w:r>
        <w:rPr>
          <w:sz w:val="28"/>
        </w:rPr>
        <w:lastRenderedPageBreak/>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202C2D" w:rsidRDefault="004366E5">
      <w:pPr>
        <w:rPr>
          <w:b/>
          <w:sz w:val="28"/>
        </w:rPr>
      </w:pPr>
      <w:r>
        <w:rPr>
          <w:b/>
          <w:sz w:val="28"/>
        </w:rPr>
        <w:t>Grupa docelowa</w:t>
      </w:r>
    </w:p>
    <w:p w:rsidR="00202C2D" w:rsidRDefault="004366E5">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202C2D" w:rsidRDefault="004366E5">
      <w:pPr>
        <w:rPr>
          <w:b/>
          <w:sz w:val="28"/>
        </w:rPr>
      </w:pPr>
      <w:r>
        <w:rPr>
          <w:b/>
          <w:sz w:val="28"/>
        </w:rPr>
        <w:t>Słowa kluczowe</w:t>
      </w:r>
    </w:p>
    <w:p w:rsidR="00202C2D" w:rsidRDefault="004366E5">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202C2D" w:rsidRDefault="004366E5">
      <w:pPr>
        <w:rPr>
          <w:b/>
          <w:sz w:val="28"/>
        </w:rPr>
      </w:pPr>
      <w:r>
        <w:rPr>
          <w:b/>
          <w:sz w:val="28"/>
        </w:rPr>
        <w:t>Wielkość podmiotu (w przypadku przedsiębiorstw)</w:t>
      </w:r>
    </w:p>
    <w:p w:rsidR="00202C2D" w:rsidRDefault="004366E5">
      <w:pPr>
        <w:rPr>
          <w:b/>
          <w:sz w:val="28"/>
        </w:rPr>
      </w:pPr>
      <w:r>
        <w:rPr>
          <w:sz w:val="28"/>
        </w:rPr>
        <w:t>Duże, Małe, Mikro, Średnie</w:t>
      </w:r>
    </w:p>
    <w:p w:rsidR="00202C2D" w:rsidRDefault="004366E5">
      <w:pPr>
        <w:rPr>
          <w:b/>
          <w:sz w:val="28"/>
        </w:rPr>
      </w:pPr>
      <w:r>
        <w:rPr>
          <w:b/>
          <w:sz w:val="28"/>
        </w:rPr>
        <w:t>Wskaźniki produktu</w:t>
      </w:r>
    </w:p>
    <w:p w:rsidR="00202C2D" w:rsidRDefault="004366E5">
      <w:pPr>
        <w:rPr>
          <w:b/>
          <w:sz w:val="28"/>
        </w:rPr>
      </w:pPr>
      <w:r>
        <w:rPr>
          <w:sz w:val="28"/>
        </w:rPr>
        <w:t>WLWK-PLRO079 - Długość nowych linii autobusowych</w:t>
      </w:r>
    </w:p>
    <w:p w:rsidR="00202C2D" w:rsidRDefault="004366E5">
      <w:pPr>
        <w:rPr>
          <w:b/>
          <w:sz w:val="28"/>
        </w:rPr>
      </w:pPr>
      <w:r>
        <w:rPr>
          <w:sz w:val="28"/>
        </w:rPr>
        <w:t>WLWK-PLRO082 - Długość przebudowanych lub zmodernizowanych linii autobusowych</w:t>
      </w:r>
    </w:p>
    <w:p w:rsidR="00202C2D" w:rsidRDefault="004366E5">
      <w:pPr>
        <w:rPr>
          <w:b/>
          <w:sz w:val="28"/>
        </w:rPr>
      </w:pPr>
      <w:r>
        <w:rPr>
          <w:sz w:val="28"/>
        </w:rPr>
        <w:t>WLWK-PLRO081 - Długość przebudowanych lub zmodernizowanych linii autobusowych i trolejbusowych</w:t>
      </w:r>
    </w:p>
    <w:p w:rsidR="00202C2D" w:rsidRDefault="004366E5">
      <w:pPr>
        <w:rPr>
          <w:b/>
          <w:sz w:val="28"/>
        </w:rPr>
      </w:pPr>
      <w:r>
        <w:rPr>
          <w:sz w:val="28"/>
        </w:rPr>
        <w:t>WLWK-RCO059 - Infrastruktura paliw alternatywnych (punkty tankowania/ładowania)</w:t>
      </w:r>
    </w:p>
    <w:p w:rsidR="00202C2D" w:rsidRDefault="004366E5">
      <w:pPr>
        <w:rPr>
          <w:b/>
          <w:sz w:val="28"/>
        </w:rPr>
      </w:pPr>
      <w:r>
        <w:rPr>
          <w:sz w:val="28"/>
        </w:rPr>
        <w:t>WLWK-PLRO099 - Liczba przebudowanych i rozbudowanych zintegrowanych węzłów przesiadkowych</w:t>
      </w:r>
    </w:p>
    <w:p w:rsidR="00202C2D" w:rsidRDefault="004366E5">
      <w:pPr>
        <w:rPr>
          <w:b/>
          <w:sz w:val="28"/>
        </w:rPr>
      </w:pPr>
      <w:r>
        <w:rPr>
          <w:sz w:val="28"/>
        </w:rPr>
        <w:t>WLWK-PLRO073 - Liczba przeprowadzonych kampanii informacyjno-edukacyjnych kształtujących świadomość ekologiczną</w:t>
      </w:r>
    </w:p>
    <w:p w:rsidR="00202C2D" w:rsidRDefault="004366E5">
      <w:pPr>
        <w:rPr>
          <w:b/>
          <w:sz w:val="28"/>
        </w:rPr>
      </w:pPr>
      <w:r>
        <w:rPr>
          <w:sz w:val="28"/>
        </w:rPr>
        <w:lastRenderedPageBreak/>
        <w:t>WLWK-PLRO184 - Liczba wspartych publicznych systemów wypożyczania rowerów</w:t>
      </w:r>
    </w:p>
    <w:p w:rsidR="00202C2D" w:rsidRDefault="004366E5">
      <w:pPr>
        <w:rPr>
          <w:b/>
          <w:sz w:val="28"/>
        </w:rPr>
      </w:pPr>
      <w:r>
        <w:rPr>
          <w:sz w:val="28"/>
        </w:rPr>
        <w:t>WLWK-PLRO097 - Liczba wspartych zintegrowanych węzłów przesiadkowych</w:t>
      </w:r>
    </w:p>
    <w:p w:rsidR="00202C2D" w:rsidRDefault="004366E5">
      <w:pPr>
        <w:rPr>
          <w:b/>
          <w:sz w:val="28"/>
        </w:rPr>
      </w:pPr>
      <w:r>
        <w:rPr>
          <w:sz w:val="28"/>
        </w:rPr>
        <w:t>WLWK-PLRO098 - Liczba wybudowanych zintegrowanych węzłów przesiadkowych</w:t>
      </w:r>
    </w:p>
    <w:p w:rsidR="00202C2D" w:rsidRDefault="004366E5">
      <w:pPr>
        <w:rPr>
          <w:b/>
          <w:sz w:val="28"/>
        </w:rPr>
      </w:pPr>
      <w:r>
        <w:rPr>
          <w:sz w:val="28"/>
        </w:rPr>
        <w:t>WLWK-PLRO088 - Liczba zakupionych jednostek taboru autobusowego w publicznym transporcie zbiorowym komunikacji miejskiej i metropolitarnej</w:t>
      </w:r>
    </w:p>
    <w:p w:rsidR="00202C2D" w:rsidRDefault="004366E5">
      <w:pPr>
        <w:rPr>
          <w:b/>
          <w:sz w:val="28"/>
        </w:rPr>
      </w:pPr>
      <w:r>
        <w:rPr>
          <w:sz w:val="28"/>
        </w:rPr>
        <w:t>WLWK-PLRO084 - Liczba zakupionych jednostek taboru pasażerskiego w publicznym transporcie zbiorowym komunikacji miejskiej i metropolitarnej</w:t>
      </w:r>
    </w:p>
    <w:p w:rsidR="00202C2D" w:rsidRDefault="004366E5">
      <w:pPr>
        <w:rPr>
          <w:b/>
          <w:sz w:val="28"/>
        </w:rPr>
      </w:pPr>
      <w:r>
        <w:rPr>
          <w:sz w:val="28"/>
        </w:rPr>
        <w:t>WLWK-RCO060 - Miasta z nowymi lub zmodernizowanymi cyfrowymi systemami transportu miejskiego</w:t>
      </w:r>
    </w:p>
    <w:p w:rsidR="00202C2D" w:rsidRDefault="004366E5">
      <w:pPr>
        <w:rPr>
          <w:b/>
          <w:sz w:val="28"/>
        </w:rPr>
      </w:pPr>
      <w:r>
        <w:rPr>
          <w:sz w:val="28"/>
        </w:rPr>
        <w:t>WLWK-RCO057 - Pojemność ekologicznego taboru do zbiorowego transportu publicznego</w:t>
      </w:r>
    </w:p>
    <w:p w:rsidR="00202C2D" w:rsidRDefault="004366E5">
      <w:pPr>
        <w:rPr>
          <w:b/>
          <w:sz w:val="28"/>
        </w:rPr>
      </w:pPr>
      <w:r>
        <w:rPr>
          <w:sz w:val="28"/>
        </w:rPr>
        <w:t>WLWK-RCO058 - Wspierana infrastruktura rowerowa</w:t>
      </w:r>
    </w:p>
    <w:p w:rsidR="00202C2D" w:rsidRDefault="004366E5">
      <w:pPr>
        <w:rPr>
          <w:b/>
          <w:sz w:val="28"/>
        </w:rPr>
      </w:pPr>
      <w:r>
        <w:rPr>
          <w:b/>
          <w:sz w:val="28"/>
        </w:rPr>
        <w:t>Wskaźniki rezultatu</w:t>
      </w:r>
    </w:p>
    <w:p w:rsidR="00202C2D" w:rsidRDefault="004366E5">
      <w:pPr>
        <w:rPr>
          <w:b/>
          <w:sz w:val="28"/>
        </w:rPr>
      </w:pPr>
      <w:r>
        <w:rPr>
          <w:sz w:val="28"/>
        </w:rPr>
        <w:t>WLWK-PLRR047 - Liczba ludności korzystającej z nowych lub zmodernizowanych cyfrowych systemów transportu miejskiego</w:t>
      </w:r>
    </w:p>
    <w:p w:rsidR="00202C2D" w:rsidRDefault="004366E5">
      <w:pPr>
        <w:rPr>
          <w:b/>
          <w:sz w:val="28"/>
        </w:rPr>
      </w:pPr>
      <w:r>
        <w:rPr>
          <w:sz w:val="28"/>
        </w:rPr>
        <w:t>WLWK-PLRR046 - Objętość paliwa wykorzystanego we wspartej infrastrukturze paliw alternatywnych</w:t>
      </w:r>
    </w:p>
    <w:p w:rsidR="00202C2D" w:rsidRDefault="004366E5">
      <w:pPr>
        <w:rPr>
          <w:b/>
          <w:sz w:val="28"/>
        </w:rPr>
      </w:pPr>
      <w:r>
        <w:rPr>
          <w:sz w:val="28"/>
        </w:rPr>
        <w:t>WLWK-RCR064 - Roczna liczba użytkowników infrastruktury rowerowej</w:t>
      </w:r>
    </w:p>
    <w:p w:rsidR="00202C2D" w:rsidRDefault="004366E5">
      <w:pPr>
        <w:rPr>
          <w:b/>
          <w:sz w:val="28"/>
        </w:rPr>
      </w:pPr>
      <w:r>
        <w:rPr>
          <w:sz w:val="28"/>
        </w:rPr>
        <w:t>WLWK-RCR062 - Roczna liczba użytkowników nowego lub zmodernizowanego transportu publicznego</w:t>
      </w:r>
    </w:p>
    <w:p w:rsidR="00202C2D" w:rsidRDefault="004366E5">
      <w:pPr>
        <w:rPr>
          <w:b/>
          <w:sz w:val="28"/>
        </w:rPr>
      </w:pPr>
      <w:r>
        <w:rPr>
          <w:sz w:val="28"/>
        </w:rPr>
        <w:t>WLWK-RCR029 - Szacowana emisja gazów cieplarnianych</w:t>
      </w:r>
    </w:p>
    <w:p w:rsidR="00202C2D" w:rsidRDefault="00202C2D">
      <w:pPr>
        <w:rPr>
          <w:b/>
          <w:sz w:val="28"/>
        </w:rPr>
      </w:pPr>
    </w:p>
    <w:p w:rsidR="00202C2D" w:rsidRDefault="004366E5">
      <w:pPr>
        <w:pStyle w:val="Nagwek3"/>
        <w:rPr>
          <w:rFonts w:ascii="Calibri" w:hAnsi="Calibri" w:cs="Calibri"/>
          <w:sz w:val="32"/>
        </w:rPr>
      </w:pPr>
      <w:bookmarkStart w:id="8" w:name="_Toc132713993"/>
      <w:r>
        <w:rPr>
          <w:rFonts w:ascii="Calibri" w:hAnsi="Calibri" w:cs="Calibri"/>
          <w:sz w:val="32"/>
        </w:rPr>
        <w:lastRenderedPageBreak/>
        <w:t>Działanie FEPM.03.02 Mobilność miejska – ZIT na terenie obszaru metropolitalnego</w:t>
      </w:r>
      <w:bookmarkEnd w:id="8"/>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EFRR/FS.CP2.VIII - Wspieranie zrównoważonej multimodalnej mobilności miejskiej jako elementu transformacji w kierunku gospodarki zeroemisyjnej</w:t>
      </w:r>
    </w:p>
    <w:p w:rsidR="00202C2D" w:rsidRDefault="004366E5">
      <w:pPr>
        <w:rPr>
          <w:b/>
          <w:sz w:val="28"/>
        </w:rPr>
      </w:pPr>
      <w:r>
        <w:rPr>
          <w:b/>
          <w:sz w:val="28"/>
        </w:rPr>
        <w:t>Wysokość alokacji UE (EUR)</w:t>
      </w:r>
    </w:p>
    <w:p w:rsidR="00202C2D" w:rsidRDefault="004366E5">
      <w:pPr>
        <w:rPr>
          <w:b/>
          <w:sz w:val="28"/>
        </w:rPr>
      </w:pPr>
      <w:r>
        <w:rPr>
          <w:sz w:val="28"/>
        </w:rPr>
        <w:t>63 308 456,00</w:t>
      </w:r>
    </w:p>
    <w:p w:rsidR="00202C2D" w:rsidRDefault="004366E5">
      <w:pPr>
        <w:rPr>
          <w:b/>
          <w:sz w:val="28"/>
        </w:rPr>
      </w:pPr>
      <w:r>
        <w:rPr>
          <w:b/>
          <w:sz w:val="28"/>
        </w:rPr>
        <w:t>Zakres interwencji</w:t>
      </w:r>
    </w:p>
    <w:p w:rsidR="00202C2D" w:rsidRDefault="004366E5">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202C2D" w:rsidRDefault="004366E5">
      <w:pPr>
        <w:rPr>
          <w:b/>
          <w:sz w:val="28"/>
        </w:rPr>
      </w:pPr>
      <w:r>
        <w:rPr>
          <w:b/>
          <w:sz w:val="28"/>
        </w:rPr>
        <w:t>Opis działania</w:t>
      </w:r>
    </w:p>
    <w:p w:rsidR="00202C2D" w:rsidRDefault="004366E5">
      <w:pPr>
        <w:rPr>
          <w:b/>
          <w:sz w:val="28"/>
        </w:rPr>
      </w:pPr>
      <w:r>
        <w:rPr>
          <w:sz w:val="28"/>
        </w:rPr>
        <w:t>Działanie będzie realizowane we współpracy z Instytucją Pośredniczącą, której rolę pełnić będzie Stowarzyszenie Obszar Metropolitalny Gdańsk-Gdynia-Sopot.</w:t>
      </w:r>
    </w:p>
    <w:p w:rsidR="00202C2D" w:rsidRDefault="004366E5">
      <w:pPr>
        <w:rPr>
          <w:b/>
          <w:sz w:val="28"/>
        </w:rPr>
      </w:pPr>
      <w:r>
        <w:rPr>
          <w:sz w:val="28"/>
        </w:rPr>
        <w:t xml:space="preserve">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202C2D" w:rsidRDefault="004366E5">
      <w:pPr>
        <w:rPr>
          <w:b/>
          <w:sz w:val="28"/>
        </w:rPr>
      </w:pPr>
      <w:r>
        <w:rPr>
          <w:sz w:val="28"/>
        </w:rPr>
        <w:t>Typy projektów:</w:t>
      </w:r>
    </w:p>
    <w:p w:rsidR="00202C2D" w:rsidRDefault="004366E5">
      <w:pPr>
        <w:rPr>
          <w:b/>
          <w:sz w:val="28"/>
        </w:rPr>
      </w:pPr>
      <w:r>
        <w:rPr>
          <w:sz w:val="28"/>
        </w:rPr>
        <w:lastRenderedPageBreak/>
        <w:t>1. Budowa, rozbudowa i przebudowa infrastruktury składającej się na węzeł integracyjny lub przystanek zintegrowany takiej jak:</w:t>
      </w:r>
    </w:p>
    <w:p w:rsidR="00202C2D" w:rsidRDefault="004366E5">
      <w:pPr>
        <w:rPr>
          <w:b/>
          <w:sz w:val="28"/>
        </w:rPr>
      </w:pPr>
      <w:r>
        <w:rPr>
          <w:sz w:val="28"/>
        </w:rPr>
        <w:t>a) punktowa infrastruktura transportu zbiorowego służąca powiązaniu jego różnych form: m.in. pętle autobusowe, tramwajowe, trolejbusowe;</w:t>
      </w:r>
    </w:p>
    <w:p w:rsidR="00202C2D" w:rsidRDefault="004366E5">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202C2D" w:rsidRDefault="004366E5">
      <w:pPr>
        <w:rPr>
          <w:b/>
          <w:sz w:val="28"/>
        </w:rPr>
      </w:pPr>
      <w:r>
        <w:rPr>
          <w:sz w:val="28"/>
        </w:rPr>
        <w:t xml:space="preserve">c) dworce kolejowe, autobusowe lub inne obiekty obsługi podróżnych; </w:t>
      </w:r>
    </w:p>
    <w:p w:rsidR="00202C2D" w:rsidRDefault="004366E5">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202C2D" w:rsidRDefault="004366E5">
      <w:pPr>
        <w:rPr>
          <w:b/>
          <w:sz w:val="28"/>
        </w:rPr>
      </w:pPr>
      <w:r>
        <w:rPr>
          <w:sz w:val="28"/>
        </w:rP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p>
    <w:p w:rsidR="00202C2D" w:rsidRDefault="004366E5">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202C2D" w:rsidRDefault="004366E5">
      <w:pPr>
        <w:rPr>
          <w:b/>
          <w:sz w:val="28"/>
        </w:rPr>
      </w:pPr>
      <w:r>
        <w:rPr>
          <w:sz w:val="28"/>
        </w:rPr>
        <w:t xml:space="preserve">4. Zakup zero i niskoemisyjnego taboru publicznego transportu zbiorowego, np. autobusów, tramwajów, trolejbusów oraz innych środków komunikacji; </w:t>
      </w:r>
    </w:p>
    <w:p w:rsidR="00202C2D" w:rsidRDefault="004366E5">
      <w:pPr>
        <w:rPr>
          <w:b/>
          <w:sz w:val="28"/>
        </w:rPr>
      </w:pPr>
      <w:r>
        <w:rPr>
          <w:sz w:val="28"/>
        </w:rPr>
        <w:t xml:space="preserve">5. Rozwój infrastruktury ładowania i tankowania pojazdów zeroemisyjnych; </w:t>
      </w:r>
    </w:p>
    <w:p w:rsidR="00202C2D" w:rsidRDefault="004366E5">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202C2D" w:rsidRDefault="004366E5">
      <w:pPr>
        <w:rPr>
          <w:b/>
          <w:sz w:val="28"/>
        </w:rPr>
      </w:pPr>
      <w:r>
        <w:rPr>
          <w:sz w:val="28"/>
        </w:rPr>
        <w:t xml:space="preserve">a) systemów zarządzania transportem zbiorowym (w tym systemów sterowania ruchem pojazdów transportu zbiorowego); </w:t>
      </w:r>
    </w:p>
    <w:p w:rsidR="00202C2D" w:rsidRDefault="004366E5">
      <w:pPr>
        <w:rPr>
          <w:b/>
          <w:sz w:val="28"/>
        </w:rPr>
      </w:pPr>
      <w:r>
        <w:rPr>
          <w:sz w:val="28"/>
        </w:rPr>
        <w:lastRenderedPageBreak/>
        <w:t xml:space="preserve">b) systemów monitoringu transportu zbiorowego i przystanków (m.in. systemów monitorowania bezpieczeństwa pasażerów); </w:t>
      </w:r>
    </w:p>
    <w:p w:rsidR="00202C2D" w:rsidRDefault="004366E5">
      <w:pPr>
        <w:rPr>
          <w:b/>
          <w:sz w:val="28"/>
        </w:rPr>
      </w:pPr>
      <w:r>
        <w:rPr>
          <w:sz w:val="28"/>
        </w:rPr>
        <w:t xml:space="preserve">c) systemów informacji dla pasażerów transportu zbiorowego; </w:t>
      </w:r>
    </w:p>
    <w:p w:rsidR="00202C2D" w:rsidRDefault="004366E5">
      <w:pPr>
        <w:rPr>
          <w:b/>
          <w:sz w:val="28"/>
        </w:rPr>
      </w:pPr>
      <w:r>
        <w:rPr>
          <w:sz w:val="28"/>
        </w:rPr>
        <w:t xml:space="preserve">d) systemów organizacji przewozów, w tym elektronicznych systemów pobierania opłat (bilet elektroniczny); </w:t>
      </w:r>
    </w:p>
    <w:p w:rsidR="00202C2D" w:rsidRDefault="004366E5">
      <w:pPr>
        <w:rPr>
          <w:b/>
          <w:sz w:val="28"/>
        </w:rPr>
      </w:pPr>
      <w:r>
        <w:rPr>
          <w:sz w:val="28"/>
        </w:rPr>
        <w:t xml:space="preserve">e) aplikacji do planowania podróży. </w:t>
      </w:r>
    </w:p>
    <w:p w:rsidR="00202C2D" w:rsidRDefault="004366E5">
      <w:pPr>
        <w:rPr>
          <w:b/>
          <w:sz w:val="28"/>
        </w:rPr>
      </w:pPr>
      <w:r>
        <w:rPr>
          <w:sz w:val="28"/>
        </w:rPr>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202C2D" w:rsidRDefault="004366E5">
      <w:pPr>
        <w:rPr>
          <w:b/>
          <w:sz w:val="28"/>
        </w:rPr>
      </w:pPr>
      <w:r>
        <w:rPr>
          <w:sz w:val="28"/>
        </w:rPr>
        <w:t>Ponadto możliwa będzie kontynuacja inwestycji realizowanych w RPO WP 2014-2020, które uzyskały zgodę Instytucji Zarządzającej (IZ) na fazowanie projektu.</w:t>
      </w:r>
    </w:p>
    <w:p w:rsidR="00202C2D" w:rsidRDefault="004366E5">
      <w:pPr>
        <w:rPr>
          <w:b/>
          <w:sz w:val="28"/>
        </w:rPr>
      </w:pPr>
      <w:r>
        <w:rPr>
          <w:sz w:val="28"/>
        </w:rPr>
        <w:t>Najważniejsze warunki realizacji projektów:</w:t>
      </w:r>
    </w:p>
    <w:p w:rsidR="00202C2D" w:rsidRDefault="004366E5">
      <w:pPr>
        <w:rPr>
          <w:b/>
          <w:sz w:val="28"/>
        </w:rPr>
      </w:pPr>
      <w:r>
        <w:rPr>
          <w:sz w:val="28"/>
        </w:rPr>
        <w:t>1. Wsparcie uzyskać mogą wyłącznie projekty wpisane do Strategii ZIT dla Obszaru Metropolitalnego Gdańsk-Gdynia-Sopot;</w:t>
      </w:r>
    </w:p>
    <w:p w:rsidR="00202C2D" w:rsidRDefault="004366E5">
      <w:pPr>
        <w:rPr>
          <w:b/>
          <w:sz w:val="28"/>
        </w:rPr>
      </w:pPr>
      <w:r>
        <w:rPr>
          <w:sz w:val="28"/>
        </w:rPr>
        <w:t>2. Projekty muszą być zgodne z zapisami Regionalnego Programu Strategicznego w zakresie mobilności i komunikacji, stanowiącego „Regionalny Plan Transportowy dla Województwa Pomorskiego 2030”;</w:t>
      </w:r>
    </w:p>
    <w:p w:rsidR="00202C2D" w:rsidRDefault="004366E5">
      <w:pPr>
        <w:rPr>
          <w:b/>
          <w:sz w:val="28"/>
        </w:rPr>
      </w:pPr>
      <w:r>
        <w:rPr>
          <w:sz w:val="28"/>
        </w:rPr>
        <w:t>3. Projekty muszą być zgodne z Planem Zrównoważonej Mobilności Miejskiej (SUMP) dla Obszaru Metropolitalnego Gdańsk-Gdynia-Sopot:</w:t>
      </w:r>
    </w:p>
    <w:p w:rsidR="00202C2D" w:rsidRDefault="004366E5">
      <w:pPr>
        <w:rPr>
          <w:b/>
          <w:sz w:val="28"/>
        </w:rPr>
      </w:pPr>
      <w:r>
        <w:rPr>
          <w:sz w:val="28"/>
        </w:rPr>
        <w:t>- sporządzonym zgodnie z wymogami określonymi we właściwym Komunikacie Komisji dotyczącym SUMP oraz rozporządzeniem UE w sprawie sieci TEN-T;</w:t>
      </w:r>
    </w:p>
    <w:p w:rsidR="00202C2D" w:rsidRDefault="004366E5">
      <w:pPr>
        <w:rPr>
          <w:b/>
          <w:sz w:val="28"/>
        </w:rPr>
      </w:pPr>
      <w:r>
        <w:rPr>
          <w:sz w:val="28"/>
        </w:rPr>
        <w:t xml:space="preserve">- przyjętym przez organ właściwy terytorialnie oraz rzeczowo, w formie zapewniającej jego praktyczną realizację; </w:t>
      </w:r>
    </w:p>
    <w:p w:rsidR="00202C2D" w:rsidRDefault="004366E5">
      <w:pPr>
        <w:rPr>
          <w:b/>
          <w:sz w:val="28"/>
        </w:rPr>
      </w:pPr>
      <w:r>
        <w:rPr>
          <w:sz w:val="28"/>
        </w:rPr>
        <w:t>4. Podatek VAT w projekcie jest niekwalifikowalny;</w:t>
      </w:r>
    </w:p>
    <w:p w:rsidR="00202C2D" w:rsidRDefault="004366E5">
      <w:pPr>
        <w:rPr>
          <w:b/>
          <w:sz w:val="28"/>
        </w:rPr>
      </w:pPr>
      <w:r>
        <w:rPr>
          <w:sz w:val="28"/>
        </w:rPr>
        <w:lastRenderedPageBreak/>
        <w:t>5.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202C2D" w:rsidRDefault="004366E5">
      <w:pPr>
        <w:rPr>
          <w:b/>
          <w:sz w:val="28"/>
        </w:rPr>
      </w:pPr>
      <w:r>
        <w:rPr>
          <w:sz w:val="28"/>
        </w:rPr>
        <w:t xml:space="preserve">6. Dla pierwszego typu projektu: </w:t>
      </w:r>
    </w:p>
    <w:p w:rsidR="00202C2D" w:rsidRDefault="004366E5">
      <w:pPr>
        <w:rPr>
          <w:b/>
          <w:sz w:val="28"/>
        </w:rPr>
      </w:pPr>
      <w:r>
        <w:rPr>
          <w:sz w:val="28"/>
        </w:rPr>
        <w:t>- nowe węzły integracyjne lub przystanki zintegrowane muszą być zlokalizowane poza obszarami centralnymi miast;</w:t>
      </w:r>
    </w:p>
    <w:p w:rsidR="00202C2D" w:rsidRDefault="004366E5">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202C2D" w:rsidRDefault="004366E5">
      <w:pPr>
        <w:rPr>
          <w:b/>
          <w:sz w:val="28"/>
        </w:rPr>
      </w:pPr>
      <w:r>
        <w:rPr>
          <w:sz w:val="28"/>
        </w:rPr>
        <w:t>- budowa i rozbudowa obiektów typu „parkuj i jedź” może być realizowana wyłącznie poza obszarami centralnymi miast;</w:t>
      </w:r>
    </w:p>
    <w:p w:rsidR="00202C2D" w:rsidRDefault="004366E5">
      <w:pPr>
        <w:rPr>
          <w:b/>
          <w:sz w:val="28"/>
        </w:rPr>
      </w:pPr>
      <w:r>
        <w:rPr>
          <w:sz w:val="28"/>
        </w:rPr>
        <w:t>7. Dla drugiego typu projektu:</w:t>
      </w:r>
    </w:p>
    <w:p w:rsidR="00202C2D" w:rsidRDefault="004366E5">
      <w:pPr>
        <w:rPr>
          <w:b/>
          <w:sz w:val="28"/>
        </w:rPr>
      </w:pPr>
      <w:r>
        <w:rPr>
          <w:sz w:val="28"/>
        </w:rPr>
        <w:t>- budowana, rozbudowywana lub przebudowywana sieć drogowa na potrzeby linii autobusowych i trolejbusowych nie może być wykorzystywana dla indywidualnego ruchu samochodowego;</w:t>
      </w:r>
    </w:p>
    <w:p w:rsidR="00202C2D" w:rsidRDefault="004366E5">
      <w:pPr>
        <w:rPr>
          <w:b/>
          <w:sz w:val="28"/>
        </w:rPr>
      </w:pPr>
      <w:r>
        <w:rPr>
          <w:sz w:val="28"/>
        </w:rPr>
        <w:t xml:space="preserve">8. Dla czwartego typu projektu: </w:t>
      </w:r>
    </w:p>
    <w:p w:rsidR="00202C2D" w:rsidRDefault="004366E5">
      <w:pPr>
        <w:rPr>
          <w:b/>
          <w:sz w:val="28"/>
        </w:rPr>
      </w:pPr>
      <w:r>
        <w:rPr>
          <w:sz w:val="28"/>
        </w:rPr>
        <w:lastRenderedPageBreak/>
        <w:t>- pojazdy niskoemisyjne muszą spełniać wymogi dla ekologicznie czystych pojazdów w rozumieniu dyrektywy Parlamentu Europejskiego i Rady 2009/33/WE;</w:t>
      </w:r>
    </w:p>
    <w:p w:rsidR="00202C2D" w:rsidRDefault="004366E5">
      <w:pPr>
        <w:rPr>
          <w:b/>
          <w:sz w:val="28"/>
        </w:rPr>
      </w:pPr>
      <w:r>
        <w:rPr>
          <w:sz w:val="28"/>
        </w:rPr>
        <w:t xml:space="preserve">9. Dla piątego typu projektu: </w:t>
      </w:r>
    </w:p>
    <w:p w:rsidR="00202C2D" w:rsidRDefault="004366E5">
      <w:pPr>
        <w:rPr>
          <w:b/>
          <w:sz w:val="28"/>
        </w:rPr>
      </w:pPr>
      <w:r>
        <w:rPr>
          <w:sz w:val="28"/>
        </w:rPr>
        <w:t>- infrastruktura może być realizowana jedynie w przypadku braku możliwości finansowania jej ze źródeł prywatnych;</w:t>
      </w:r>
    </w:p>
    <w:p w:rsidR="00202C2D" w:rsidRDefault="004366E5">
      <w:pPr>
        <w:rPr>
          <w:b/>
          <w:sz w:val="28"/>
        </w:rPr>
      </w:pPr>
      <w:r>
        <w:rPr>
          <w:sz w:val="28"/>
        </w:rPr>
        <w:t>- w przypadku infrastruktury dla użytkowników indywidualnych - należy zapewnić niedyskryminacyjny dostęp dla wszystkich użytkowników;</w:t>
      </w:r>
    </w:p>
    <w:p w:rsidR="00202C2D" w:rsidRDefault="004366E5">
      <w:pPr>
        <w:rPr>
          <w:b/>
          <w:sz w:val="28"/>
        </w:rPr>
      </w:pPr>
      <w:r>
        <w:rPr>
          <w:sz w:val="28"/>
        </w:rPr>
        <w:t>10. Dla szóstego typu projektu:</w:t>
      </w:r>
    </w:p>
    <w:p w:rsidR="00202C2D" w:rsidRDefault="004366E5">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202C2D" w:rsidRDefault="004366E5">
      <w:pPr>
        <w:rPr>
          <w:b/>
          <w:sz w:val="28"/>
        </w:rPr>
      </w:pPr>
      <w:r>
        <w:rPr>
          <w:sz w:val="28"/>
        </w:rPr>
        <w:t>11. Działania realizowane w ramach siódmego typu projektu mogą stanowić osobny projekt jedynie w przypadku, gdy są komplementarne z założeniami kompleksowego przedsięwzięcia edukacyjnego prowadzonego na terenie całego województwa;</w:t>
      </w:r>
    </w:p>
    <w:p w:rsidR="00202C2D" w:rsidRDefault="004366E5">
      <w:pPr>
        <w:rPr>
          <w:b/>
          <w:sz w:val="28"/>
        </w:rPr>
      </w:pPr>
      <w:r>
        <w:rPr>
          <w:sz w:val="28"/>
        </w:rPr>
        <w:t>12. Przedsiębiorcy mogą ubiegać się o dofinansowanie wyłącznie w ramach piątego typu projektu jako partnerzy w projektach realizowanych przez administrację publiczną.</w:t>
      </w:r>
    </w:p>
    <w:p w:rsidR="00202C2D" w:rsidRDefault="004366E5">
      <w:pPr>
        <w:rPr>
          <w:b/>
          <w:sz w:val="28"/>
        </w:rPr>
      </w:pPr>
      <w:r>
        <w:rPr>
          <w:sz w:val="28"/>
        </w:rPr>
        <w:t>Ukierunkowanie terytorialne:</w:t>
      </w:r>
    </w:p>
    <w:p w:rsidR="00202C2D" w:rsidRDefault="004366E5">
      <w:pPr>
        <w:rPr>
          <w:b/>
          <w:sz w:val="28"/>
        </w:rPr>
      </w:pPr>
      <w:r>
        <w:rPr>
          <w:sz w:val="28"/>
        </w:rPr>
        <w:t xml:space="preserve">Obszar wskazany w Strategii ZIT dla Obszaru Metropolitalnego Gdańsk-Gdynia-Sopot.  </w:t>
      </w:r>
    </w:p>
    <w:p w:rsidR="00202C2D" w:rsidRDefault="004366E5">
      <w:pPr>
        <w:rPr>
          <w:b/>
          <w:sz w:val="28"/>
        </w:rPr>
      </w:pPr>
      <w:r>
        <w:rPr>
          <w:sz w:val="28"/>
        </w:rPr>
        <w:t xml:space="preserve">Preferowane będą projekty: </w:t>
      </w:r>
    </w:p>
    <w:p w:rsidR="00202C2D" w:rsidRDefault="004366E5">
      <w:pPr>
        <w:rPr>
          <w:b/>
          <w:sz w:val="28"/>
        </w:rPr>
      </w:pPr>
      <w:r>
        <w:rPr>
          <w:sz w:val="28"/>
        </w:rPr>
        <w:lastRenderedPageBreak/>
        <w:t>- powiązane z wprowadzaniem integracji taryfowej oraz wdrażaniem koncepcji „Mobilność jako usługa” (</w:t>
      </w:r>
      <w:proofErr w:type="spellStart"/>
      <w:r>
        <w:rPr>
          <w:sz w:val="28"/>
        </w:rPr>
        <w:t>MaaS</w:t>
      </w:r>
      <w:proofErr w:type="spellEnd"/>
      <w:r>
        <w:rPr>
          <w:sz w:val="28"/>
        </w:rPr>
        <w:t>);</w:t>
      </w:r>
    </w:p>
    <w:p w:rsidR="00202C2D" w:rsidRDefault="004366E5">
      <w:pPr>
        <w:rPr>
          <w:b/>
          <w:sz w:val="28"/>
        </w:rPr>
      </w:pPr>
      <w:r>
        <w:rPr>
          <w:sz w:val="28"/>
        </w:rPr>
        <w:t>- uwzględniające działania wyrównujące szanse grup zagrożonych dyskryminacją.</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lastRenderedPageBreak/>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Niekonkurencyjny</w:t>
      </w:r>
    </w:p>
    <w:p w:rsidR="00202C2D" w:rsidRDefault="004366E5">
      <w:pPr>
        <w:rPr>
          <w:b/>
          <w:sz w:val="28"/>
        </w:rPr>
      </w:pPr>
      <w:r>
        <w:rPr>
          <w:b/>
          <w:sz w:val="28"/>
        </w:rPr>
        <w:t>Realizacja instrumentów terytorialnych</w:t>
      </w:r>
    </w:p>
    <w:p w:rsidR="00202C2D" w:rsidRDefault="004366E5">
      <w:pPr>
        <w:rPr>
          <w:b/>
          <w:sz w:val="28"/>
        </w:rPr>
      </w:pPr>
      <w:r>
        <w:rPr>
          <w:sz w:val="28"/>
        </w:rPr>
        <w:t>ZIT</w:t>
      </w:r>
    </w:p>
    <w:p w:rsidR="00202C2D" w:rsidRDefault="004366E5">
      <w:pPr>
        <w:rPr>
          <w:b/>
          <w:sz w:val="28"/>
        </w:rPr>
      </w:pPr>
      <w:r>
        <w:rPr>
          <w:b/>
          <w:sz w:val="28"/>
        </w:rPr>
        <w:t>Typ beneficjenta – ogólny</w:t>
      </w:r>
    </w:p>
    <w:p w:rsidR="00202C2D" w:rsidRDefault="004366E5">
      <w:pPr>
        <w:rPr>
          <w:b/>
          <w:sz w:val="28"/>
        </w:rPr>
      </w:pPr>
      <w:r>
        <w:rPr>
          <w:sz w:val="28"/>
        </w:rPr>
        <w:t>Administracja publiczna, Przedsiębiorstwa, Przedsiębiorstwa realizujące cele publiczne, Służby publiczne</w:t>
      </w:r>
    </w:p>
    <w:p w:rsidR="00202C2D" w:rsidRDefault="004366E5">
      <w:pPr>
        <w:rPr>
          <w:b/>
          <w:sz w:val="28"/>
        </w:rPr>
      </w:pPr>
      <w:r>
        <w:rPr>
          <w:b/>
          <w:sz w:val="28"/>
        </w:rPr>
        <w:t>Typ beneficjenta – szczegółowy</w:t>
      </w:r>
    </w:p>
    <w:p w:rsidR="00202C2D" w:rsidRDefault="004366E5">
      <w:pPr>
        <w:rPr>
          <w:b/>
          <w:sz w:val="28"/>
        </w:rPr>
      </w:pPr>
      <w:r>
        <w:rPr>
          <w:sz w:val="28"/>
        </w:rP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202C2D" w:rsidRDefault="004366E5">
      <w:pPr>
        <w:rPr>
          <w:b/>
          <w:sz w:val="28"/>
        </w:rPr>
      </w:pPr>
      <w:r>
        <w:rPr>
          <w:b/>
          <w:sz w:val="28"/>
        </w:rPr>
        <w:lastRenderedPageBreak/>
        <w:t>Grupa docelowa</w:t>
      </w:r>
    </w:p>
    <w:p w:rsidR="00202C2D" w:rsidRDefault="004366E5">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202C2D" w:rsidRDefault="004366E5">
      <w:pPr>
        <w:rPr>
          <w:b/>
          <w:sz w:val="28"/>
        </w:rPr>
      </w:pPr>
      <w:r>
        <w:rPr>
          <w:b/>
          <w:sz w:val="28"/>
        </w:rPr>
        <w:t>Słowa kluczowe</w:t>
      </w:r>
    </w:p>
    <w:p w:rsidR="00202C2D" w:rsidRDefault="004366E5">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202C2D" w:rsidRDefault="004366E5">
      <w:pPr>
        <w:rPr>
          <w:b/>
          <w:sz w:val="28"/>
        </w:rPr>
      </w:pPr>
      <w:r>
        <w:rPr>
          <w:b/>
          <w:sz w:val="28"/>
        </w:rPr>
        <w:t>Wielkość podmiotu (w przypadku przedsiębiorstw)</w:t>
      </w:r>
    </w:p>
    <w:p w:rsidR="00202C2D" w:rsidRDefault="004366E5">
      <w:pPr>
        <w:rPr>
          <w:b/>
          <w:sz w:val="28"/>
        </w:rPr>
      </w:pPr>
      <w:r>
        <w:rPr>
          <w:sz w:val="28"/>
        </w:rPr>
        <w:t>Duże, Małe, Mikro, Średnie</w:t>
      </w:r>
    </w:p>
    <w:p w:rsidR="00202C2D" w:rsidRDefault="004366E5">
      <w:pPr>
        <w:rPr>
          <w:b/>
          <w:sz w:val="28"/>
        </w:rPr>
      </w:pPr>
      <w:r>
        <w:rPr>
          <w:b/>
          <w:sz w:val="28"/>
        </w:rPr>
        <w:t>Wskaźniki produktu</w:t>
      </w:r>
    </w:p>
    <w:p w:rsidR="00202C2D" w:rsidRDefault="004366E5">
      <w:pPr>
        <w:rPr>
          <w:b/>
          <w:sz w:val="28"/>
        </w:rPr>
      </w:pPr>
      <w:r>
        <w:rPr>
          <w:sz w:val="28"/>
        </w:rPr>
        <w:t>WLWK-PLRO079 - Długość nowych linii autobusowych</w:t>
      </w:r>
    </w:p>
    <w:p w:rsidR="00202C2D" w:rsidRDefault="004366E5">
      <w:pPr>
        <w:rPr>
          <w:b/>
          <w:sz w:val="28"/>
        </w:rPr>
      </w:pPr>
      <w:r>
        <w:rPr>
          <w:sz w:val="28"/>
        </w:rPr>
        <w:t>WLWK-PLRO080 - Długość nowych linii trolejbusowych</w:t>
      </w:r>
    </w:p>
    <w:p w:rsidR="00202C2D" w:rsidRDefault="004366E5">
      <w:pPr>
        <w:rPr>
          <w:b/>
          <w:sz w:val="28"/>
        </w:rPr>
      </w:pPr>
      <w:r>
        <w:rPr>
          <w:sz w:val="28"/>
        </w:rPr>
        <w:t>WLWK-PLRO082 - Długość przebudowanych lub zmodernizowanych linii autobusowych</w:t>
      </w:r>
    </w:p>
    <w:p w:rsidR="00202C2D" w:rsidRDefault="004366E5">
      <w:pPr>
        <w:rPr>
          <w:b/>
          <w:sz w:val="28"/>
        </w:rPr>
      </w:pPr>
      <w:r>
        <w:rPr>
          <w:sz w:val="28"/>
        </w:rPr>
        <w:t>WLWK-PLRO081 - Długość przebudowanych lub zmodernizowanych linii autobusowych i trolejbusowych</w:t>
      </w:r>
    </w:p>
    <w:p w:rsidR="00202C2D" w:rsidRDefault="004366E5">
      <w:pPr>
        <w:rPr>
          <w:b/>
          <w:sz w:val="28"/>
        </w:rPr>
      </w:pPr>
      <w:r>
        <w:rPr>
          <w:sz w:val="28"/>
        </w:rPr>
        <w:t>WLWK-PLRO077 - Długość przebudowanych lub zmodernizowanych linii tramwajowych</w:t>
      </w:r>
    </w:p>
    <w:p w:rsidR="00202C2D" w:rsidRDefault="004366E5">
      <w:pPr>
        <w:rPr>
          <w:b/>
          <w:sz w:val="28"/>
        </w:rPr>
      </w:pPr>
      <w:r>
        <w:rPr>
          <w:sz w:val="28"/>
        </w:rPr>
        <w:t>WLWK-PLRO083 - Długość przebudowanych lub zmodernizowanych linii trolejbusowych</w:t>
      </w:r>
    </w:p>
    <w:p w:rsidR="00202C2D" w:rsidRDefault="004366E5">
      <w:pPr>
        <w:rPr>
          <w:b/>
          <w:sz w:val="28"/>
        </w:rPr>
      </w:pPr>
      <w:r>
        <w:rPr>
          <w:sz w:val="28"/>
        </w:rPr>
        <w:t>WLWK-PLRO075 - Długość wybudowanych linii tramwajowych</w:t>
      </w:r>
    </w:p>
    <w:p w:rsidR="00202C2D" w:rsidRDefault="004366E5">
      <w:pPr>
        <w:rPr>
          <w:b/>
          <w:sz w:val="28"/>
        </w:rPr>
      </w:pPr>
      <w:r>
        <w:rPr>
          <w:sz w:val="28"/>
        </w:rPr>
        <w:t>WLWK-RCO059 - Infrastruktura paliw alternatywnych (punkty tankowania/ładowania)</w:t>
      </w:r>
    </w:p>
    <w:p w:rsidR="00202C2D" w:rsidRDefault="004366E5">
      <w:pPr>
        <w:rPr>
          <w:b/>
          <w:sz w:val="28"/>
        </w:rPr>
      </w:pPr>
      <w:r>
        <w:rPr>
          <w:sz w:val="28"/>
        </w:rPr>
        <w:t>WLWK-PLRO099 - Liczba przebudowanych i rozbudowanych zintegrowanych węzłów przesiadkowych</w:t>
      </w:r>
    </w:p>
    <w:p w:rsidR="00202C2D" w:rsidRDefault="004366E5">
      <w:pPr>
        <w:rPr>
          <w:b/>
          <w:sz w:val="28"/>
        </w:rPr>
      </w:pPr>
      <w:r>
        <w:rPr>
          <w:sz w:val="28"/>
        </w:rPr>
        <w:lastRenderedPageBreak/>
        <w:t>WLWK-PLRO073 - Liczba przeprowadzonych kampanii informacyjno-edukacyjnych kształtujących świadomość ekologiczną</w:t>
      </w:r>
    </w:p>
    <w:p w:rsidR="00202C2D" w:rsidRDefault="004366E5">
      <w:pPr>
        <w:rPr>
          <w:b/>
          <w:sz w:val="28"/>
        </w:rPr>
      </w:pPr>
      <w:r>
        <w:rPr>
          <w:sz w:val="28"/>
        </w:rPr>
        <w:t>WLWK-PLRO184 - Liczba wspartych publicznych systemów wypożyczania rowerów</w:t>
      </w:r>
    </w:p>
    <w:p w:rsidR="00202C2D" w:rsidRDefault="004366E5">
      <w:pPr>
        <w:rPr>
          <w:b/>
          <w:sz w:val="28"/>
        </w:rPr>
      </w:pPr>
      <w:r>
        <w:rPr>
          <w:sz w:val="28"/>
        </w:rPr>
        <w:t>WLWK-PLRO097 - Liczba wspartych zintegrowanych węzłów przesiadkowych</w:t>
      </w:r>
    </w:p>
    <w:p w:rsidR="00202C2D" w:rsidRDefault="004366E5">
      <w:pPr>
        <w:rPr>
          <w:b/>
          <w:sz w:val="28"/>
        </w:rPr>
      </w:pPr>
      <w:r>
        <w:rPr>
          <w:sz w:val="28"/>
        </w:rPr>
        <w:t>WLWK-PLRO098 - Liczba wybudowanych zintegrowanych węzłów przesiadkowych</w:t>
      </w:r>
    </w:p>
    <w:p w:rsidR="00202C2D" w:rsidRDefault="004366E5">
      <w:pPr>
        <w:rPr>
          <w:b/>
          <w:sz w:val="28"/>
        </w:rPr>
      </w:pPr>
      <w:r>
        <w:rPr>
          <w:sz w:val="28"/>
        </w:rPr>
        <w:t>WLWK-PLRO088 - Liczba zakupionych jednostek taboru autobusowego w publicznym transporcie zbiorowym komunikacji miejskiej i metropolitarnej</w:t>
      </w:r>
    </w:p>
    <w:p w:rsidR="00202C2D" w:rsidRDefault="004366E5">
      <w:pPr>
        <w:rPr>
          <w:b/>
          <w:sz w:val="28"/>
        </w:rPr>
      </w:pPr>
      <w:r>
        <w:rPr>
          <w:sz w:val="28"/>
        </w:rPr>
        <w:t>WLWK-PLRO084 - Liczba zakupionych jednostek taboru pasażerskiego w publicznym transporcie zbiorowym komunikacji miejskiej i metropolitarnej</w:t>
      </w:r>
    </w:p>
    <w:p w:rsidR="00202C2D" w:rsidRDefault="004366E5">
      <w:pPr>
        <w:rPr>
          <w:b/>
          <w:sz w:val="28"/>
        </w:rPr>
      </w:pPr>
      <w:r>
        <w:rPr>
          <w:sz w:val="28"/>
        </w:rPr>
        <w:t>WLWK-PLRO087 - Liczba zakupionych jednostek taboru tramwajowego w publicznym transporcie zbiorowym komunikacji miejskiej i metropolitarnej</w:t>
      </w:r>
    </w:p>
    <w:p w:rsidR="00202C2D" w:rsidRDefault="004366E5">
      <w:pPr>
        <w:rPr>
          <w:b/>
          <w:sz w:val="28"/>
        </w:rPr>
      </w:pPr>
      <w:r>
        <w:rPr>
          <w:sz w:val="28"/>
        </w:rPr>
        <w:t>WLWK-PLRO089 - Liczba zakupionych jednostek taboru trolejbusowego w publicznym transporcie zbiorowym komunikacji miejskiej i metropolitarnej</w:t>
      </w:r>
    </w:p>
    <w:p w:rsidR="00202C2D" w:rsidRDefault="004366E5">
      <w:pPr>
        <w:rPr>
          <w:b/>
          <w:sz w:val="28"/>
        </w:rPr>
      </w:pPr>
      <w:r>
        <w:rPr>
          <w:sz w:val="28"/>
        </w:rPr>
        <w:t>WLWK-RCO074 - Ludność objęta projektami w ramach strategii zintegrowanego rozwoju terytorialnego</w:t>
      </w:r>
    </w:p>
    <w:p w:rsidR="00202C2D" w:rsidRDefault="004366E5">
      <w:pPr>
        <w:rPr>
          <w:b/>
          <w:sz w:val="28"/>
        </w:rPr>
      </w:pPr>
      <w:r>
        <w:rPr>
          <w:sz w:val="28"/>
        </w:rPr>
        <w:t>WLWK-RCO060 - Miasta z nowymi lub zmodernizowanymi cyfrowymi systemami transportu miejskiego</w:t>
      </w:r>
    </w:p>
    <w:p w:rsidR="00202C2D" w:rsidRDefault="004366E5">
      <w:pPr>
        <w:rPr>
          <w:b/>
          <w:sz w:val="28"/>
        </w:rPr>
      </w:pPr>
      <w:r>
        <w:rPr>
          <w:sz w:val="28"/>
        </w:rPr>
        <w:t>WLWK-RCO057 - Pojemność ekologicznego taboru do zbiorowego transportu publicznego</w:t>
      </w:r>
    </w:p>
    <w:p w:rsidR="00202C2D" w:rsidRDefault="004366E5">
      <w:pPr>
        <w:rPr>
          <w:b/>
          <w:sz w:val="28"/>
        </w:rPr>
      </w:pPr>
      <w:r>
        <w:rPr>
          <w:sz w:val="28"/>
        </w:rPr>
        <w:t>WLWK-RCO058 - Wspierana infrastruktura rowerowa</w:t>
      </w:r>
    </w:p>
    <w:p w:rsidR="00202C2D" w:rsidRDefault="004366E5">
      <w:pPr>
        <w:rPr>
          <w:b/>
          <w:sz w:val="28"/>
        </w:rPr>
      </w:pPr>
      <w:r>
        <w:rPr>
          <w:sz w:val="28"/>
        </w:rPr>
        <w:t>WLWK-RCO075 - Wspierane strategie zintegrowanego rozwoju terytorialnego</w:t>
      </w:r>
    </w:p>
    <w:p w:rsidR="00202C2D" w:rsidRDefault="004366E5">
      <w:pPr>
        <w:rPr>
          <w:b/>
          <w:sz w:val="28"/>
        </w:rPr>
      </w:pPr>
      <w:r>
        <w:rPr>
          <w:b/>
          <w:sz w:val="28"/>
        </w:rPr>
        <w:t>Wskaźniki rezultatu</w:t>
      </w:r>
    </w:p>
    <w:p w:rsidR="00202C2D" w:rsidRDefault="004366E5">
      <w:pPr>
        <w:rPr>
          <w:b/>
          <w:sz w:val="28"/>
        </w:rPr>
      </w:pPr>
      <w:r>
        <w:rPr>
          <w:sz w:val="28"/>
        </w:rPr>
        <w:t>WLWK-PLRR047 - Liczba ludności korzystającej z nowych lub zmodernizowanych cyfrowych systemów transportu miejskiego</w:t>
      </w:r>
    </w:p>
    <w:p w:rsidR="00202C2D" w:rsidRDefault="004366E5">
      <w:pPr>
        <w:rPr>
          <w:b/>
          <w:sz w:val="28"/>
        </w:rPr>
      </w:pPr>
      <w:r>
        <w:rPr>
          <w:sz w:val="28"/>
        </w:rPr>
        <w:lastRenderedPageBreak/>
        <w:t>WLWK-PLRR046 - Objętość paliwa wykorzystanego we wspartej infrastrukturze paliw alternatywnych</w:t>
      </w:r>
    </w:p>
    <w:p w:rsidR="00202C2D" w:rsidRDefault="004366E5">
      <w:pPr>
        <w:rPr>
          <w:b/>
          <w:sz w:val="28"/>
        </w:rPr>
      </w:pPr>
      <w:r>
        <w:rPr>
          <w:sz w:val="28"/>
        </w:rPr>
        <w:t>WLWK-RCR064 - Roczna liczba użytkowników infrastruktury rowerowej</w:t>
      </w:r>
    </w:p>
    <w:p w:rsidR="00202C2D" w:rsidRDefault="004366E5">
      <w:pPr>
        <w:rPr>
          <w:b/>
          <w:sz w:val="28"/>
        </w:rPr>
      </w:pPr>
      <w:r>
        <w:rPr>
          <w:sz w:val="28"/>
        </w:rPr>
        <w:t>WLWK-RCR062 - Roczna liczba użytkowników nowego lub zmodernizowanego transportu publicznego</w:t>
      </w:r>
    </w:p>
    <w:p w:rsidR="00202C2D" w:rsidRDefault="004366E5">
      <w:pPr>
        <w:rPr>
          <w:b/>
          <w:sz w:val="28"/>
        </w:rPr>
      </w:pPr>
      <w:r>
        <w:rPr>
          <w:sz w:val="28"/>
        </w:rPr>
        <w:t>WLWK-RCR029 - Szacowana emisja gazów cieplarnianych</w:t>
      </w:r>
    </w:p>
    <w:p w:rsidR="00202C2D" w:rsidRDefault="00202C2D">
      <w:pPr>
        <w:rPr>
          <w:b/>
          <w:sz w:val="28"/>
        </w:rPr>
      </w:pPr>
    </w:p>
    <w:p w:rsidR="00202C2D" w:rsidRDefault="004366E5">
      <w:pPr>
        <w:pStyle w:val="Nagwek3"/>
        <w:rPr>
          <w:rFonts w:ascii="Calibri" w:hAnsi="Calibri" w:cs="Calibri"/>
          <w:sz w:val="32"/>
        </w:rPr>
      </w:pPr>
      <w:bookmarkStart w:id="9" w:name="_Toc132713994"/>
      <w:r>
        <w:rPr>
          <w:rFonts w:ascii="Calibri" w:hAnsi="Calibri" w:cs="Calibri"/>
          <w:sz w:val="32"/>
        </w:rPr>
        <w:t>Działanie FEPM.03.03 Mobilność miejska – ZIT poza terenem obszaru metropolitalnego</w:t>
      </w:r>
      <w:bookmarkEnd w:id="9"/>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EFRR/FS.CP2.VIII - Wspieranie zrównoważonej multimodalnej mobilności miejskiej jako elementu transformacji w kierunku gospodarki zeroemisyjnej</w:t>
      </w:r>
    </w:p>
    <w:p w:rsidR="00202C2D" w:rsidRDefault="004366E5">
      <w:pPr>
        <w:rPr>
          <w:b/>
          <w:sz w:val="28"/>
        </w:rPr>
      </w:pPr>
      <w:r>
        <w:rPr>
          <w:b/>
          <w:sz w:val="28"/>
        </w:rPr>
        <w:t>Wysokość alokacji UE (EUR)</w:t>
      </w:r>
    </w:p>
    <w:p w:rsidR="00202C2D" w:rsidRDefault="004366E5">
      <w:pPr>
        <w:rPr>
          <w:b/>
          <w:sz w:val="28"/>
        </w:rPr>
      </w:pPr>
      <w:r>
        <w:rPr>
          <w:sz w:val="28"/>
        </w:rPr>
        <w:t>73 099 223,00</w:t>
      </w:r>
    </w:p>
    <w:p w:rsidR="00202C2D" w:rsidRDefault="004366E5">
      <w:pPr>
        <w:rPr>
          <w:b/>
          <w:sz w:val="28"/>
        </w:rPr>
      </w:pPr>
      <w:r>
        <w:rPr>
          <w:b/>
          <w:sz w:val="28"/>
        </w:rPr>
        <w:t>Zakres interwencji</w:t>
      </w:r>
    </w:p>
    <w:p w:rsidR="00202C2D" w:rsidRDefault="004366E5">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202C2D" w:rsidRDefault="004366E5">
      <w:pPr>
        <w:rPr>
          <w:b/>
          <w:sz w:val="28"/>
        </w:rPr>
      </w:pPr>
      <w:r>
        <w:rPr>
          <w:b/>
          <w:sz w:val="28"/>
        </w:rPr>
        <w:t>Opis działania</w:t>
      </w:r>
    </w:p>
    <w:p w:rsidR="00202C2D" w:rsidRDefault="004366E5">
      <w:pPr>
        <w:rPr>
          <w:b/>
          <w:sz w:val="28"/>
        </w:rPr>
      </w:pPr>
      <w:r>
        <w:rPr>
          <w:sz w:val="28"/>
        </w:rPr>
        <w:t xml:space="preserve">W ramach Działania wspierane będą projekty prowadzące do wzrostu znaczenia zrównoważonej zbiorowej i indywidualnej mobilności miejskiej, realizowane na terenach wskazanych w Strategiach ZIT (Zintegrowanych Inwestycji </w:t>
      </w:r>
      <w:r>
        <w:rPr>
          <w:sz w:val="28"/>
        </w:rPr>
        <w:lastRenderedPageBreak/>
        <w:t>Terytorialnych) dla Miejskich Obszarów Funkcjonalnych: Bytowa, Chojnic-Człuchowa, Kościerzyny, Kwidzyna, Lęborka, Malborka-Sztumu, Słupska-Ustki i Starogardu Gdańskiego.</w:t>
      </w:r>
    </w:p>
    <w:p w:rsidR="00202C2D" w:rsidRDefault="004366E5">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202C2D" w:rsidRDefault="004366E5">
      <w:pPr>
        <w:rPr>
          <w:b/>
          <w:sz w:val="28"/>
        </w:rPr>
      </w:pPr>
      <w:r>
        <w:rPr>
          <w:sz w:val="28"/>
        </w:rPr>
        <w:t>Typy projektów:</w:t>
      </w:r>
    </w:p>
    <w:p w:rsidR="00202C2D" w:rsidRDefault="004366E5">
      <w:pPr>
        <w:rPr>
          <w:b/>
          <w:sz w:val="28"/>
        </w:rPr>
      </w:pPr>
      <w:r>
        <w:rPr>
          <w:sz w:val="28"/>
        </w:rPr>
        <w:t>1. Budowa, rozbudowa i przebudowa infrastruktury składającej się na węzeł integracyjny lub przystanek zintegrowany takiej jak:</w:t>
      </w:r>
    </w:p>
    <w:p w:rsidR="00202C2D" w:rsidRDefault="004366E5">
      <w:pPr>
        <w:rPr>
          <w:b/>
          <w:sz w:val="28"/>
        </w:rPr>
      </w:pPr>
      <w:r>
        <w:rPr>
          <w:sz w:val="28"/>
        </w:rPr>
        <w:t>a) punktowa infrastruktura transportu zbiorowego służąca powiązaniu jego różnych form: m.in. pętle autobusowe;</w:t>
      </w:r>
    </w:p>
    <w:p w:rsidR="00202C2D" w:rsidRDefault="004366E5">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202C2D" w:rsidRDefault="004366E5">
      <w:pPr>
        <w:rPr>
          <w:b/>
          <w:sz w:val="28"/>
        </w:rPr>
      </w:pPr>
      <w:r>
        <w:rPr>
          <w:sz w:val="28"/>
        </w:rPr>
        <w:t xml:space="preserve">c) dworce kolejowe, autobusowe lub inne obiekty obsługi podróżnych; </w:t>
      </w:r>
    </w:p>
    <w:p w:rsidR="00202C2D" w:rsidRDefault="004366E5">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202C2D" w:rsidRDefault="004366E5">
      <w:pPr>
        <w:rPr>
          <w:b/>
          <w:sz w:val="28"/>
        </w:rPr>
      </w:pPr>
      <w:r>
        <w:rPr>
          <w:sz w:val="28"/>
        </w:rPr>
        <w:t>2. Budowa, rozbudowa i przebudowa liniowej infrastruktury transportu autobusowego, w tym pętli, wydzielonych pasów ruchu (buspasów), zatok przystankowych;</w:t>
      </w:r>
    </w:p>
    <w:p w:rsidR="00202C2D" w:rsidRDefault="004366E5">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202C2D" w:rsidRDefault="004366E5">
      <w:pPr>
        <w:rPr>
          <w:b/>
          <w:sz w:val="28"/>
        </w:rPr>
      </w:pPr>
      <w:r>
        <w:rPr>
          <w:sz w:val="28"/>
        </w:rPr>
        <w:t xml:space="preserve">4. Zakup zero i niskoemisyjnego taboru publicznego transportu zbiorowego np. autobusów; </w:t>
      </w:r>
    </w:p>
    <w:p w:rsidR="00202C2D" w:rsidRDefault="004366E5">
      <w:pPr>
        <w:rPr>
          <w:b/>
          <w:sz w:val="28"/>
        </w:rPr>
      </w:pPr>
      <w:r>
        <w:rPr>
          <w:sz w:val="28"/>
        </w:rPr>
        <w:lastRenderedPageBreak/>
        <w:t xml:space="preserve">5. Rozwój infrastruktury ładowania i tankowania pojazdów zeroemisyjnych; </w:t>
      </w:r>
    </w:p>
    <w:p w:rsidR="00202C2D" w:rsidRDefault="004366E5">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202C2D" w:rsidRDefault="004366E5">
      <w:pPr>
        <w:rPr>
          <w:b/>
          <w:sz w:val="28"/>
        </w:rPr>
      </w:pPr>
      <w:r>
        <w:rPr>
          <w:sz w:val="28"/>
        </w:rPr>
        <w:t xml:space="preserve">a) systemów zarządzania transportem zbiorowym (w tym systemów sterowania ruchem pojazdów transportu zbiorowego); </w:t>
      </w:r>
    </w:p>
    <w:p w:rsidR="00202C2D" w:rsidRDefault="004366E5">
      <w:pPr>
        <w:rPr>
          <w:b/>
          <w:sz w:val="28"/>
        </w:rPr>
      </w:pPr>
      <w:r>
        <w:rPr>
          <w:sz w:val="28"/>
        </w:rPr>
        <w:t xml:space="preserve">b) systemów monitoringu transportu zbiorowego i przystanków (m.in. systemów monitorowania bezpieczeństwa pasażerów); </w:t>
      </w:r>
    </w:p>
    <w:p w:rsidR="00202C2D" w:rsidRDefault="004366E5">
      <w:pPr>
        <w:rPr>
          <w:b/>
          <w:sz w:val="28"/>
        </w:rPr>
      </w:pPr>
      <w:r>
        <w:rPr>
          <w:sz w:val="28"/>
        </w:rPr>
        <w:t xml:space="preserve">c) systemów informacji dla pasażerów transportu zbiorowego; </w:t>
      </w:r>
    </w:p>
    <w:p w:rsidR="00202C2D" w:rsidRDefault="004366E5">
      <w:pPr>
        <w:rPr>
          <w:b/>
          <w:sz w:val="28"/>
        </w:rPr>
      </w:pPr>
      <w:r>
        <w:rPr>
          <w:sz w:val="28"/>
        </w:rPr>
        <w:t xml:space="preserve">d) systemów organizacji przewozów, w tym elektronicznych systemów pobierania opłat (bilet elektroniczny); </w:t>
      </w:r>
    </w:p>
    <w:p w:rsidR="00202C2D" w:rsidRDefault="004366E5">
      <w:pPr>
        <w:rPr>
          <w:b/>
          <w:sz w:val="28"/>
        </w:rPr>
      </w:pPr>
      <w:r>
        <w:rPr>
          <w:sz w:val="28"/>
        </w:rPr>
        <w:t xml:space="preserve">e) aplikacji do planowania podróży. </w:t>
      </w:r>
    </w:p>
    <w:p w:rsidR="00202C2D" w:rsidRDefault="004366E5">
      <w:pPr>
        <w:rPr>
          <w:b/>
          <w:sz w:val="28"/>
        </w:rPr>
      </w:pPr>
      <w:r>
        <w:rPr>
          <w:sz w:val="28"/>
        </w:rPr>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202C2D" w:rsidRDefault="004366E5">
      <w:pPr>
        <w:rPr>
          <w:b/>
          <w:sz w:val="28"/>
        </w:rPr>
      </w:pPr>
      <w:r>
        <w:rPr>
          <w:sz w:val="28"/>
        </w:rPr>
        <w:t>Najważniejsze warunki realizacji projektów:</w:t>
      </w:r>
    </w:p>
    <w:p w:rsidR="00202C2D" w:rsidRDefault="004366E5">
      <w:pPr>
        <w:rPr>
          <w:b/>
          <w:sz w:val="28"/>
        </w:rPr>
      </w:pPr>
      <w:r>
        <w:rPr>
          <w:sz w:val="28"/>
        </w:rPr>
        <w:t xml:space="preserve">1. Wsparcie uzyskać mogą wyłącznie projekty wpisane do Strategii ZIT dla Miejskich Obszarów Funkcjonalnych właściwej dla obszaru ich realizacji; </w:t>
      </w:r>
    </w:p>
    <w:p w:rsidR="00202C2D" w:rsidRDefault="004366E5">
      <w:pPr>
        <w:rPr>
          <w:b/>
          <w:sz w:val="28"/>
        </w:rPr>
      </w:pPr>
      <w:r>
        <w:rPr>
          <w:sz w:val="28"/>
        </w:rPr>
        <w:t>2. Projekty muszą być zgodne z zapisami Regionalnego Programu Strategicznego w zakresie mobilności i komunikacji, stanowiącego „Regionalny Plan Transportowy dla Województwa Pomorskiego 2030”;</w:t>
      </w:r>
    </w:p>
    <w:p w:rsidR="00202C2D" w:rsidRDefault="004366E5">
      <w:pPr>
        <w:rPr>
          <w:b/>
          <w:sz w:val="28"/>
        </w:rPr>
      </w:pPr>
      <w:r>
        <w:rPr>
          <w:sz w:val="28"/>
        </w:rPr>
        <w:t xml:space="preserve">3. Projekty muszą być zgodne z dokumentem dotyczącym planowania mobilności przyjętym dla obszaru, na którym realizowana jest inwestycja; </w:t>
      </w:r>
    </w:p>
    <w:p w:rsidR="00202C2D" w:rsidRDefault="004366E5">
      <w:pPr>
        <w:rPr>
          <w:b/>
          <w:sz w:val="28"/>
        </w:rPr>
      </w:pPr>
      <w:r>
        <w:rPr>
          <w:sz w:val="28"/>
        </w:rPr>
        <w:t>4. Podatek VAT w projekcie jest niekwalifikowalny;</w:t>
      </w:r>
    </w:p>
    <w:p w:rsidR="00202C2D" w:rsidRDefault="004366E5">
      <w:pPr>
        <w:rPr>
          <w:b/>
          <w:sz w:val="28"/>
        </w:rPr>
      </w:pPr>
      <w:r>
        <w:rPr>
          <w:sz w:val="28"/>
        </w:rPr>
        <w:lastRenderedPageBreak/>
        <w:t>5.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202C2D" w:rsidRDefault="004366E5">
      <w:pPr>
        <w:rPr>
          <w:b/>
          <w:sz w:val="28"/>
        </w:rPr>
      </w:pPr>
      <w:r>
        <w:rPr>
          <w:sz w:val="28"/>
        </w:rPr>
        <w:t xml:space="preserve">6. Dla pierwszego typu projektu: </w:t>
      </w:r>
    </w:p>
    <w:p w:rsidR="00202C2D" w:rsidRDefault="004366E5">
      <w:pPr>
        <w:rPr>
          <w:b/>
          <w:sz w:val="28"/>
        </w:rPr>
      </w:pPr>
      <w:r>
        <w:rPr>
          <w:sz w:val="28"/>
        </w:rPr>
        <w:t>- nowe węzły integracyjne lub przystanki zintegrowane muszą być zlokalizowane poza obszarami centralnymi miast;</w:t>
      </w:r>
    </w:p>
    <w:p w:rsidR="00202C2D" w:rsidRDefault="004366E5">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202C2D" w:rsidRDefault="004366E5">
      <w:pPr>
        <w:rPr>
          <w:b/>
          <w:sz w:val="28"/>
        </w:rPr>
      </w:pPr>
      <w:r>
        <w:rPr>
          <w:sz w:val="28"/>
        </w:rPr>
        <w:t xml:space="preserve">- budowa i rozbudowa obiektów typu „parkuj i jedź” może być realizowana wyłącznie poza obszarami centralnymi miast; </w:t>
      </w:r>
    </w:p>
    <w:p w:rsidR="00202C2D" w:rsidRDefault="004366E5">
      <w:pPr>
        <w:rPr>
          <w:b/>
          <w:sz w:val="28"/>
        </w:rPr>
      </w:pPr>
      <w:r>
        <w:rPr>
          <w:sz w:val="28"/>
        </w:rPr>
        <w:t>7. Dla drugiego typu projektu:</w:t>
      </w:r>
    </w:p>
    <w:p w:rsidR="00202C2D" w:rsidRDefault="004366E5">
      <w:pPr>
        <w:rPr>
          <w:b/>
          <w:sz w:val="28"/>
        </w:rPr>
      </w:pPr>
      <w:r>
        <w:rPr>
          <w:sz w:val="28"/>
        </w:rPr>
        <w:t xml:space="preserve">- budowana, rozbudowywana lub przebudowywana sieć drogowa na potrzeby linii autobusowych nie może być wykorzystywana dla indywidualnego ruchu samochodowego; </w:t>
      </w:r>
    </w:p>
    <w:p w:rsidR="00202C2D" w:rsidRDefault="004366E5">
      <w:pPr>
        <w:rPr>
          <w:b/>
          <w:sz w:val="28"/>
        </w:rPr>
      </w:pPr>
      <w:r>
        <w:rPr>
          <w:sz w:val="28"/>
        </w:rPr>
        <w:t xml:space="preserve">8. Dla czwartego typu projektu: </w:t>
      </w:r>
    </w:p>
    <w:p w:rsidR="00202C2D" w:rsidRDefault="004366E5">
      <w:pPr>
        <w:rPr>
          <w:b/>
          <w:sz w:val="28"/>
        </w:rPr>
      </w:pPr>
      <w:r>
        <w:rPr>
          <w:sz w:val="28"/>
        </w:rPr>
        <w:lastRenderedPageBreak/>
        <w:t>- pojazdy niskoemisyjne muszą spełniać wymogi dla ekologicznie czystych pojazdów w rozumieniu dyrektywy Parlamentu Europejskiego i Rady 2009/33/WE;</w:t>
      </w:r>
    </w:p>
    <w:p w:rsidR="00202C2D" w:rsidRDefault="004366E5">
      <w:pPr>
        <w:rPr>
          <w:b/>
          <w:sz w:val="28"/>
        </w:rPr>
      </w:pPr>
      <w:r>
        <w:rPr>
          <w:sz w:val="28"/>
        </w:rPr>
        <w:t xml:space="preserve">9. Dla piątego typu projektu: </w:t>
      </w:r>
    </w:p>
    <w:p w:rsidR="00202C2D" w:rsidRDefault="004366E5">
      <w:pPr>
        <w:rPr>
          <w:b/>
          <w:sz w:val="28"/>
        </w:rPr>
      </w:pPr>
      <w:r>
        <w:rPr>
          <w:sz w:val="28"/>
        </w:rPr>
        <w:t>- infrastruktura może być realizowana jedynie w przypadku braku możliwości finansowania jej ze źródeł prywatnych;</w:t>
      </w:r>
    </w:p>
    <w:p w:rsidR="00202C2D" w:rsidRDefault="004366E5">
      <w:pPr>
        <w:rPr>
          <w:b/>
          <w:sz w:val="28"/>
        </w:rPr>
      </w:pPr>
      <w:r>
        <w:rPr>
          <w:sz w:val="28"/>
        </w:rPr>
        <w:t xml:space="preserve">- w przypadku infrastruktury dla użytkowników indywidualnych - należy zapewnić niedyskryminacyjny dostęp dla wszystkich użytkowników; </w:t>
      </w:r>
    </w:p>
    <w:p w:rsidR="00202C2D" w:rsidRDefault="004366E5">
      <w:pPr>
        <w:rPr>
          <w:b/>
          <w:sz w:val="28"/>
        </w:rPr>
      </w:pPr>
      <w:r>
        <w:rPr>
          <w:sz w:val="28"/>
        </w:rPr>
        <w:t>10. Dla szóstego typu projektu:</w:t>
      </w:r>
    </w:p>
    <w:p w:rsidR="00202C2D" w:rsidRDefault="004366E5">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202C2D" w:rsidRDefault="004366E5">
      <w:pPr>
        <w:rPr>
          <w:b/>
          <w:sz w:val="28"/>
        </w:rPr>
      </w:pPr>
      <w:r>
        <w:rPr>
          <w:sz w:val="28"/>
        </w:rPr>
        <w:t>11. Działania realizowane w ramach siódmego typu projektu mogą stanowić osobny projekt jedynie w przypadku, gdy są komplementarne z założeniami kompleksowego przedsięwzięcia edukacyjnego prowadzonego na terenie całego województwa.</w:t>
      </w:r>
    </w:p>
    <w:p w:rsidR="00202C2D" w:rsidRDefault="004366E5">
      <w:pPr>
        <w:rPr>
          <w:b/>
          <w:sz w:val="28"/>
        </w:rPr>
      </w:pPr>
      <w:r>
        <w:rPr>
          <w:sz w:val="28"/>
        </w:rPr>
        <w:t>12. Przedsiębiorcy mogą ubiegać się o dofinansowanie wyłącznie w ramach piątego typu projektu jako partnerzy w projektach realizowanych przez administrację publiczną.</w:t>
      </w:r>
    </w:p>
    <w:p w:rsidR="00202C2D" w:rsidRDefault="004366E5">
      <w:pPr>
        <w:rPr>
          <w:b/>
          <w:sz w:val="28"/>
        </w:rPr>
      </w:pPr>
      <w:r>
        <w:rPr>
          <w:sz w:val="28"/>
        </w:rPr>
        <w:t>Ukierunkowanie terytorialne:</w:t>
      </w:r>
    </w:p>
    <w:p w:rsidR="00202C2D" w:rsidRDefault="004366E5">
      <w:pPr>
        <w:rPr>
          <w:b/>
          <w:sz w:val="28"/>
        </w:rPr>
      </w:pPr>
      <w:r>
        <w:rPr>
          <w:sz w:val="28"/>
        </w:rPr>
        <w:t xml:space="preserve">Obszary wskazane w Strategiach ZIT dla Miejskich Obszarów Funkcjonalnych: Bytowa, Chojnic-Człuchowa, Kościerzyny, Kwidzyna, Lęborka, Malborka-Sztumu, Słupska-Ustki i Starogardu Gdańskiego.  </w:t>
      </w:r>
    </w:p>
    <w:p w:rsidR="00202C2D" w:rsidRDefault="004366E5">
      <w:pPr>
        <w:rPr>
          <w:b/>
          <w:sz w:val="28"/>
        </w:rPr>
      </w:pPr>
      <w:r>
        <w:rPr>
          <w:sz w:val="28"/>
        </w:rPr>
        <w:t xml:space="preserve">Preferowane będą projekty: </w:t>
      </w:r>
    </w:p>
    <w:p w:rsidR="00202C2D" w:rsidRDefault="004366E5">
      <w:pPr>
        <w:rPr>
          <w:b/>
          <w:sz w:val="28"/>
        </w:rPr>
      </w:pPr>
      <w:r>
        <w:rPr>
          <w:sz w:val="28"/>
        </w:rPr>
        <w:lastRenderedPageBreak/>
        <w:t>1. powiązane z wprowadzaniem integracji taryfowej oraz wdrażaniem koncepcji „Mobilność jako usługa” (</w:t>
      </w:r>
      <w:proofErr w:type="spellStart"/>
      <w:r>
        <w:rPr>
          <w:sz w:val="28"/>
        </w:rPr>
        <w:t>MaaS</w:t>
      </w:r>
      <w:proofErr w:type="spellEnd"/>
      <w:r>
        <w:rPr>
          <w:sz w:val="28"/>
        </w:rPr>
        <w:t>);</w:t>
      </w:r>
    </w:p>
    <w:p w:rsidR="00202C2D" w:rsidRDefault="004366E5">
      <w:pPr>
        <w:rPr>
          <w:b/>
          <w:sz w:val="28"/>
        </w:rPr>
      </w:pPr>
      <w:r>
        <w:rPr>
          <w:sz w:val="28"/>
        </w:rPr>
        <w:t>2. uwzględniające działania wyrównujące szanse grup zagrożonych dyskryminacją;</w:t>
      </w:r>
    </w:p>
    <w:p w:rsidR="00202C2D" w:rsidRDefault="004366E5">
      <w:pPr>
        <w:rPr>
          <w:b/>
          <w:sz w:val="28"/>
        </w:rPr>
      </w:pPr>
      <w:r>
        <w:rPr>
          <w:sz w:val="28"/>
        </w:rPr>
        <w:t>3. zgodne z Planem Zrównoważonej Mobilności Miejskiej (SUMP) dla właściwego względem miejsca inwestycji miejskiego obszaru funkcjonalnego:</w:t>
      </w:r>
    </w:p>
    <w:p w:rsidR="00202C2D" w:rsidRDefault="004366E5">
      <w:pPr>
        <w:rPr>
          <w:b/>
          <w:sz w:val="28"/>
        </w:rPr>
      </w:pPr>
      <w:r>
        <w:rPr>
          <w:sz w:val="28"/>
        </w:rPr>
        <w:t>• sporządzonym zgodnie z wymogami określonymi we właściwym Komunikacie Komisji dotyczącym SUMP oraz rozporządzeniem UE w sprawie sieci TEN-T;</w:t>
      </w:r>
    </w:p>
    <w:p w:rsidR="00202C2D" w:rsidRDefault="004366E5">
      <w:pPr>
        <w:rPr>
          <w:b/>
          <w:sz w:val="28"/>
        </w:rPr>
      </w:pPr>
      <w:r>
        <w:rPr>
          <w:sz w:val="28"/>
        </w:rPr>
        <w:t>• przyjętym przez organ właściwy terytorialnie oraz rzeczowo, w formie zapewniającej jego praktyczną realizację.</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w:t>
      </w:r>
      <w:r>
        <w:rPr>
          <w:sz w:val="28"/>
        </w:rPr>
        <w:lastRenderedPageBreak/>
        <w:t xml:space="preserve">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Niekonkurencyjny</w:t>
      </w:r>
    </w:p>
    <w:p w:rsidR="00202C2D" w:rsidRDefault="004366E5">
      <w:pPr>
        <w:rPr>
          <w:b/>
          <w:sz w:val="28"/>
        </w:rPr>
      </w:pPr>
      <w:r>
        <w:rPr>
          <w:b/>
          <w:sz w:val="28"/>
        </w:rPr>
        <w:t>Realizacja instrumentów terytorialnych</w:t>
      </w:r>
    </w:p>
    <w:p w:rsidR="00202C2D" w:rsidRDefault="004366E5">
      <w:pPr>
        <w:rPr>
          <w:b/>
          <w:sz w:val="28"/>
        </w:rPr>
      </w:pPr>
      <w:r>
        <w:rPr>
          <w:sz w:val="28"/>
        </w:rPr>
        <w:t>ZIT</w:t>
      </w:r>
    </w:p>
    <w:p w:rsidR="00202C2D" w:rsidRDefault="004366E5">
      <w:pPr>
        <w:rPr>
          <w:b/>
          <w:sz w:val="28"/>
        </w:rPr>
      </w:pPr>
      <w:r>
        <w:rPr>
          <w:b/>
          <w:sz w:val="28"/>
        </w:rPr>
        <w:t>Typ beneficjenta – ogólny</w:t>
      </w:r>
    </w:p>
    <w:p w:rsidR="00202C2D" w:rsidRDefault="004366E5">
      <w:pPr>
        <w:rPr>
          <w:b/>
          <w:sz w:val="28"/>
        </w:rPr>
      </w:pPr>
      <w:r>
        <w:rPr>
          <w:sz w:val="28"/>
        </w:rPr>
        <w:t>Administracja publiczna, Przedsiębiorstwa, Przedsiębiorstwa realizujące cele publiczne, Służby publiczne</w:t>
      </w:r>
    </w:p>
    <w:p w:rsidR="00202C2D" w:rsidRDefault="004366E5">
      <w:pPr>
        <w:rPr>
          <w:b/>
          <w:sz w:val="28"/>
        </w:rPr>
      </w:pPr>
      <w:r>
        <w:rPr>
          <w:b/>
          <w:sz w:val="28"/>
        </w:rPr>
        <w:t>Typ beneficjenta – szczegółowy</w:t>
      </w:r>
    </w:p>
    <w:p w:rsidR="00202C2D" w:rsidRDefault="004366E5">
      <w:pPr>
        <w:rPr>
          <w:b/>
          <w:sz w:val="28"/>
        </w:rPr>
      </w:pPr>
      <w:r>
        <w:rPr>
          <w:sz w:val="28"/>
        </w:rPr>
        <w:lastRenderedPageBreak/>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202C2D" w:rsidRDefault="004366E5">
      <w:pPr>
        <w:rPr>
          <w:b/>
          <w:sz w:val="28"/>
        </w:rPr>
      </w:pPr>
      <w:r>
        <w:rPr>
          <w:b/>
          <w:sz w:val="28"/>
        </w:rPr>
        <w:t>Grupa docelowa</w:t>
      </w:r>
    </w:p>
    <w:p w:rsidR="00202C2D" w:rsidRDefault="004366E5">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202C2D" w:rsidRDefault="004366E5">
      <w:pPr>
        <w:rPr>
          <w:b/>
          <w:sz w:val="28"/>
        </w:rPr>
      </w:pPr>
      <w:r>
        <w:rPr>
          <w:b/>
          <w:sz w:val="28"/>
        </w:rPr>
        <w:t>Słowa kluczowe</w:t>
      </w:r>
    </w:p>
    <w:p w:rsidR="00202C2D" w:rsidRDefault="004366E5">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202C2D" w:rsidRDefault="004366E5">
      <w:pPr>
        <w:rPr>
          <w:b/>
          <w:sz w:val="28"/>
        </w:rPr>
      </w:pPr>
      <w:r>
        <w:rPr>
          <w:b/>
          <w:sz w:val="28"/>
        </w:rPr>
        <w:t>Wielkość podmiotu (w przypadku przedsiębiorstw)</w:t>
      </w:r>
    </w:p>
    <w:p w:rsidR="00202C2D" w:rsidRDefault="004366E5">
      <w:pPr>
        <w:rPr>
          <w:b/>
          <w:sz w:val="28"/>
        </w:rPr>
      </w:pPr>
      <w:r>
        <w:rPr>
          <w:sz w:val="28"/>
        </w:rPr>
        <w:t>Duże, Małe, Mikro, Średnie</w:t>
      </w:r>
    </w:p>
    <w:p w:rsidR="00202C2D" w:rsidRDefault="004366E5">
      <w:pPr>
        <w:rPr>
          <w:b/>
          <w:sz w:val="28"/>
        </w:rPr>
      </w:pPr>
      <w:r>
        <w:rPr>
          <w:b/>
          <w:sz w:val="28"/>
        </w:rPr>
        <w:t>Wskaźniki produktu</w:t>
      </w:r>
    </w:p>
    <w:p w:rsidR="00202C2D" w:rsidRDefault="004366E5">
      <w:pPr>
        <w:rPr>
          <w:b/>
          <w:sz w:val="28"/>
        </w:rPr>
      </w:pPr>
      <w:r>
        <w:rPr>
          <w:sz w:val="28"/>
        </w:rPr>
        <w:t>WLWK-PLRO079 - Długość nowych linii autobusowych</w:t>
      </w:r>
    </w:p>
    <w:p w:rsidR="00202C2D" w:rsidRDefault="004366E5">
      <w:pPr>
        <w:rPr>
          <w:b/>
          <w:sz w:val="28"/>
        </w:rPr>
      </w:pPr>
      <w:r>
        <w:rPr>
          <w:sz w:val="28"/>
        </w:rPr>
        <w:t>WLWK-PLRO082 - Długość przebudowanych lub zmodernizowanych linii autobusowych</w:t>
      </w:r>
    </w:p>
    <w:p w:rsidR="00202C2D" w:rsidRDefault="004366E5">
      <w:pPr>
        <w:rPr>
          <w:b/>
          <w:sz w:val="28"/>
        </w:rPr>
      </w:pPr>
      <w:r>
        <w:rPr>
          <w:sz w:val="28"/>
        </w:rPr>
        <w:t>WLWK-PLRO081 - Długość przebudowanych lub zmodernizowanych linii autobusowych i trolejbusowych</w:t>
      </w:r>
    </w:p>
    <w:p w:rsidR="00202C2D" w:rsidRDefault="004366E5">
      <w:pPr>
        <w:rPr>
          <w:b/>
          <w:sz w:val="28"/>
        </w:rPr>
      </w:pPr>
      <w:r>
        <w:rPr>
          <w:sz w:val="28"/>
        </w:rPr>
        <w:t>WLWK-RCO059 - Infrastruktura paliw alternatywnych (punkty tankowania/ładowania)</w:t>
      </w:r>
    </w:p>
    <w:p w:rsidR="00202C2D" w:rsidRDefault="004366E5">
      <w:pPr>
        <w:rPr>
          <w:b/>
          <w:sz w:val="28"/>
        </w:rPr>
      </w:pPr>
      <w:r>
        <w:rPr>
          <w:sz w:val="28"/>
        </w:rPr>
        <w:t>WLWK-PLRO099 - Liczba przebudowanych i rozbudowanych zintegrowanych węzłów przesiadkowych</w:t>
      </w:r>
    </w:p>
    <w:p w:rsidR="00202C2D" w:rsidRDefault="004366E5">
      <w:pPr>
        <w:rPr>
          <w:b/>
          <w:sz w:val="28"/>
        </w:rPr>
      </w:pPr>
      <w:r>
        <w:rPr>
          <w:sz w:val="28"/>
        </w:rPr>
        <w:t>WLWK-PLRO073 - Liczba przeprowadzonych kampanii informacyjno-edukacyjnych kształtujących świadomość ekologiczną</w:t>
      </w:r>
    </w:p>
    <w:p w:rsidR="00202C2D" w:rsidRDefault="004366E5">
      <w:pPr>
        <w:rPr>
          <w:b/>
          <w:sz w:val="28"/>
        </w:rPr>
      </w:pPr>
      <w:r>
        <w:rPr>
          <w:sz w:val="28"/>
        </w:rPr>
        <w:lastRenderedPageBreak/>
        <w:t>WLWK-PLRO184 - Liczba wspartych publicznych systemów wypożyczania rowerów</w:t>
      </w:r>
    </w:p>
    <w:p w:rsidR="00202C2D" w:rsidRDefault="004366E5">
      <w:pPr>
        <w:rPr>
          <w:b/>
          <w:sz w:val="28"/>
        </w:rPr>
      </w:pPr>
      <w:r>
        <w:rPr>
          <w:sz w:val="28"/>
        </w:rPr>
        <w:t>WLWK-PLRO097 - Liczba wspartych zintegrowanych węzłów przesiadkowych</w:t>
      </w:r>
    </w:p>
    <w:p w:rsidR="00202C2D" w:rsidRDefault="004366E5">
      <w:pPr>
        <w:rPr>
          <w:b/>
          <w:sz w:val="28"/>
        </w:rPr>
      </w:pPr>
      <w:r>
        <w:rPr>
          <w:sz w:val="28"/>
        </w:rPr>
        <w:t>WLWK-PLRO098 - Liczba wybudowanych zintegrowanych węzłów przesiadkowych</w:t>
      </w:r>
    </w:p>
    <w:p w:rsidR="00202C2D" w:rsidRDefault="004366E5">
      <w:pPr>
        <w:rPr>
          <w:b/>
          <w:sz w:val="28"/>
        </w:rPr>
      </w:pPr>
      <w:r>
        <w:rPr>
          <w:sz w:val="28"/>
        </w:rPr>
        <w:t>WLWK-PLRO088 - Liczba zakupionych jednostek taboru autobusowego w publicznym transporcie zbiorowym komunikacji miejskiej i metropolitarnej</w:t>
      </w:r>
    </w:p>
    <w:p w:rsidR="00202C2D" w:rsidRDefault="004366E5">
      <w:pPr>
        <w:rPr>
          <w:b/>
          <w:sz w:val="28"/>
        </w:rPr>
      </w:pPr>
      <w:r>
        <w:rPr>
          <w:sz w:val="28"/>
        </w:rPr>
        <w:t>WLWK-PLRO084 - Liczba zakupionych jednostek taboru pasażerskiego w publicznym transporcie zbiorowym komunikacji miejskiej i metropolitarnej</w:t>
      </w:r>
    </w:p>
    <w:p w:rsidR="00202C2D" w:rsidRDefault="004366E5">
      <w:pPr>
        <w:rPr>
          <w:b/>
          <w:sz w:val="28"/>
        </w:rPr>
      </w:pPr>
      <w:r>
        <w:rPr>
          <w:sz w:val="28"/>
        </w:rPr>
        <w:t>WLWK-RCO074 - Ludność objęta projektami w ramach strategii zintegrowanego rozwoju terytorialnego</w:t>
      </w:r>
    </w:p>
    <w:p w:rsidR="00202C2D" w:rsidRDefault="004366E5">
      <w:pPr>
        <w:rPr>
          <w:b/>
          <w:sz w:val="28"/>
        </w:rPr>
      </w:pPr>
      <w:r>
        <w:rPr>
          <w:sz w:val="28"/>
        </w:rPr>
        <w:t>WLWK-RCO060 - Miasta z nowymi lub zmodernizowanymi cyfrowymi systemami transportu miejskiego</w:t>
      </w:r>
    </w:p>
    <w:p w:rsidR="00202C2D" w:rsidRDefault="004366E5">
      <w:pPr>
        <w:rPr>
          <w:b/>
          <w:sz w:val="28"/>
        </w:rPr>
      </w:pPr>
      <w:r>
        <w:rPr>
          <w:sz w:val="28"/>
        </w:rPr>
        <w:t>WLWK-RCO057 - Pojemność ekologicznego taboru do zbiorowego transportu publicznego</w:t>
      </w:r>
    </w:p>
    <w:p w:rsidR="00202C2D" w:rsidRDefault="004366E5">
      <w:pPr>
        <w:rPr>
          <w:b/>
          <w:sz w:val="28"/>
        </w:rPr>
      </w:pPr>
      <w:r>
        <w:rPr>
          <w:sz w:val="28"/>
        </w:rPr>
        <w:t>WLWK-RCO058 - Wspierana infrastruktura rowerowa</w:t>
      </w:r>
    </w:p>
    <w:p w:rsidR="00202C2D" w:rsidRDefault="004366E5">
      <w:pPr>
        <w:rPr>
          <w:b/>
          <w:sz w:val="28"/>
        </w:rPr>
      </w:pPr>
      <w:r>
        <w:rPr>
          <w:sz w:val="28"/>
        </w:rPr>
        <w:t>WLWK-RCO075 - Wspierane strategie zintegrowanego rozwoju terytorialnego</w:t>
      </w:r>
    </w:p>
    <w:p w:rsidR="00202C2D" w:rsidRDefault="004366E5">
      <w:pPr>
        <w:rPr>
          <w:b/>
          <w:sz w:val="28"/>
        </w:rPr>
      </w:pPr>
      <w:r>
        <w:rPr>
          <w:b/>
          <w:sz w:val="28"/>
        </w:rPr>
        <w:t>Wskaźniki rezultatu</w:t>
      </w:r>
    </w:p>
    <w:p w:rsidR="00202C2D" w:rsidRDefault="004366E5">
      <w:pPr>
        <w:rPr>
          <w:b/>
          <w:sz w:val="28"/>
        </w:rPr>
      </w:pPr>
      <w:r>
        <w:rPr>
          <w:sz w:val="28"/>
        </w:rPr>
        <w:t>WLWK-PLRR047 - Liczba ludności korzystającej z nowych lub zmodernizowanych cyfrowych systemów transportu miejskiego</w:t>
      </w:r>
    </w:p>
    <w:p w:rsidR="00202C2D" w:rsidRDefault="004366E5">
      <w:pPr>
        <w:rPr>
          <w:b/>
          <w:sz w:val="28"/>
        </w:rPr>
      </w:pPr>
      <w:r>
        <w:rPr>
          <w:sz w:val="28"/>
        </w:rPr>
        <w:t>WLWK-PLRR046 - Objętość paliwa wykorzystanego we wspartej infrastrukturze paliw alternatywnych</w:t>
      </w:r>
    </w:p>
    <w:p w:rsidR="00202C2D" w:rsidRDefault="004366E5">
      <w:pPr>
        <w:rPr>
          <w:b/>
          <w:sz w:val="28"/>
        </w:rPr>
      </w:pPr>
      <w:r>
        <w:rPr>
          <w:sz w:val="28"/>
        </w:rPr>
        <w:t>WLWK-RCR064 - Roczna liczba użytkowników infrastruktury rowerowej</w:t>
      </w:r>
    </w:p>
    <w:p w:rsidR="00202C2D" w:rsidRDefault="004366E5">
      <w:pPr>
        <w:rPr>
          <w:b/>
          <w:sz w:val="28"/>
        </w:rPr>
      </w:pPr>
      <w:r>
        <w:rPr>
          <w:sz w:val="28"/>
        </w:rPr>
        <w:t>WLWK-RCR062 - Roczna liczba użytkowników nowego lub zmodernizowanego transportu publicznego</w:t>
      </w:r>
    </w:p>
    <w:p w:rsidR="00202C2D" w:rsidRDefault="004366E5">
      <w:pPr>
        <w:rPr>
          <w:b/>
          <w:sz w:val="28"/>
        </w:rPr>
      </w:pPr>
      <w:r>
        <w:rPr>
          <w:sz w:val="28"/>
        </w:rPr>
        <w:t>WLWK-RCR029 - Szacowana emisja gazów cieplarnianych</w:t>
      </w:r>
    </w:p>
    <w:p w:rsidR="00202C2D" w:rsidRDefault="00202C2D">
      <w:pPr>
        <w:rPr>
          <w:b/>
          <w:sz w:val="28"/>
        </w:rPr>
      </w:pPr>
    </w:p>
    <w:p w:rsidR="00202C2D" w:rsidRDefault="004366E5">
      <w:pPr>
        <w:pStyle w:val="Nagwek2"/>
        <w:rPr>
          <w:rFonts w:ascii="Calibri" w:hAnsi="Calibri" w:cs="Calibri"/>
          <w:i w:val="0"/>
          <w:sz w:val="32"/>
        </w:rPr>
      </w:pPr>
      <w:bookmarkStart w:id="10" w:name="_Toc132713995"/>
      <w:r>
        <w:rPr>
          <w:rFonts w:ascii="Calibri" w:hAnsi="Calibri" w:cs="Calibri"/>
          <w:i w:val="0"/>
          <w:sz w:val="32"/>
        </w:rPr>
        <w:lastRenderedPageBreak/>
        <w:t>Priorytet FEPM.04 Fundusze europejskie dla lepiej połączonego Pomorza</w:t>
      </w:r>
      <w:bookmarkEnd w:id="10"/>
    </w:p>
    <w:p w:rsidR="00202C2D" w:rsidRDefault="00202C2D">
      <w:pPr>
        <w:rPr>
          <w:rFonts w:ascii="Calibri" w:hAnsi="Calibri"/>
          <w:sz w:val="32"/>
        </w:rPr>
      </w:pPr>
    </w:p>
    <w:p w:rsidR="00202C2D" w:rsidRDefault="004366E5">
      <w:pPr>
        <w:rPr>
          <w:b/>
          <w:sz w:val="28"/>
        </w:rPr>
      </w:pPr>
      <w:r>
        <w:rPr>
          <w:b/>
          <w:sz w:val="28"/>
        </w:rPr>
        <w:t>Instytucja Zarządzająca</w:t>
      </w:r>
    </w:p>
    <w:p w:rsidR="00202C2D" w:rsidRDefault="004366E5">
      <w:pPr>
        <w:rPr>
          <w:b/>
          <w:sz w:val="28"/>
        </w:rPr>
      </w:pPr>
      <w:r>
        <w:rPr>
          <w:sz w:val="28"/>
        </w:rPr>
        <w:t>Urząd Marszałkowski Województwa Pomorskiego</w:t>
      </w:r>
    </w:p>
    <w:p w:rsidR="00202C2D" w:rsidRDefault="004366E5">
      <w:pPr>
        <w:rPr>
          <w:b/>
          <w:sz w:val="28"/>
        </w:rPr>
      </w:pPr>
      <w:r>
        <w:rPr>
          <w:b/>
          <w:sz w:val="28"/>
        </w:rPr>
        <w:t>Fundusz</w:t>
      </w:r>
    </w:p>
    <w:p w:rsidR="00202C2D" w:rsidRDefault="004366E5">
      <w:pPr>
        <w:rPr>
          <w:b/>
          <w:sz w:val="28"/>
        </w:rPr>
      </w:pPr>
      <w:r>
        <w:rPr>
          <w:sz w:val="28"/>
        </w:rPr>
        <w:t>Europejski Fundusz Rozwoju Regionalnego</w:t>
      </w:r>
    </w:p>
    <w:p w:rsidR="00202C2D" w:rsidRDefault="004366E5">
      <w:pPr>
        <w:rPr>
          <w:b/>
          <w:sz w:val="28"/>
        </w:rPr>
      </w:pPr>
      <w:r>
        <w:rPr>
          <w:b/>
          <w:sz w:val="28"/>
        </w:rPr>
        <w:t>Cel Polityki</w:t>
      </w:r>
    </w:p>
    <w:p w:rsidR="00202C2D" w:rsidRDefault="004366E5">
      <w:pPr>
        <w:rPr>
          <w:b/>
          <w:sz w:val="28"/>
        </w:rPr>
      </w:pPr>
      <w:r>
        <w:rPr>
          <w:sz w:val="28"/>
        </w:rPr>
        <w:t>CP3 - Lepiej połączona Europa dzięki zwiększeniu mobilności</w:t>
      </w:r>
    </w:p>
    <w:p w:rsidR="00202C2D" w:rsidRDefault="004366E5">
      <w:pPr>
        <w:rPr>
          <w:b/>
          <w:sz w:val="28"/>
        </w:rPr>
      </w:pPr>
      <w:r>
        <w:rPr>
          <w:b/>
          <w:sz w:val="28"/>
        </w:rPr>
        <w:t>Miejsce realizacji</w:t>
      </w:r>
    </w:p>
    <w:p w:rsidR="00202C2D" w:rsidRDefault="004366E5">
      <w:pPr>
        <w:rPr>
          <w:b/>
          <w:sz w:val="28"/>
        </w:rPr>
      </w:pPr>
      <w:r>
        <w:rPr>
          <w:sz w:val="28"/>
        </w:rPr>
        <w:t>POMORSKIE</w:t>
      </w:r>
    </w:p>
    <w:p w:rsidR="00202C2D" w:rsidRDefault="004366E5">
      <w:pPr>
        <w:rPr>
          <w:b/>
          <w:sz w:val="28"/>
        </w:rPr>
      </w:pPr>
      <w:r>
        <w:rPr>
          <w:b/>
          <w:sz w:val="28"/>
        </w:rPr>
        <w:t>Wysokość alokacji UE (EUR)</w:t>
      </w:r>
    </w:p>
    <w:p w:rsidR="00202C2D" w:rsidRDefault="004366E5">
      <w:pPr>
        <w:rPr>
          <w:b/>
          <w:sz w:val="28"/>
        </w:rPr>
      </w:pPr>
      <w:r>
        <w:rPr>
          <w:sz w:val="28"/>
        </w:rPr>
        <w:t>250 721 768,00</w:t>
      </w:r>
    </w:p>
    <w:p w:rsidR="00202C2D" w:rsidRDefault="00202C2D">
      <w:pPr>
        <w:rPr>
          <w:b/>
          <w:sz w:val="28"/>
        </w:rPr>
      </w:pPr>
    </w:p>
    <w:p w:rsidR="00202C2D" w:rsidRDefault="004366E5">
      <w:pPr>
        <w:pStyle w:val="Nagwek3"/>
        <w:rPr>
          <w:rFonts w:ascii="Calibri" w:hAnsi="Calibri" w:cs="Calibri"/>
          <w:sz w:val="32"/>
        </w:rPr>
      </w:pPr>
      <w:bookmarkStart w:id="11" w:name="_Toc132713996"/>
      <w:r>
        <w:rPr>
          <w:rFonts w:ascii="Calibri" w:hAnsi="Calibri" w:cs="Calibri"/>
          <w:sz w:val="32"/>
        </w:rPr>
        <w:t>Działanie FEPM.04.01 Infrastruktura drogowa</w:t>
      </w:r>
      <w:bookmarkEnd w:id="11"/>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202C2D" w:rsidRDefault="004366E5">
      <w:pPr>
        <w:rPr>
          <w:b/>
          <w:sz w:val="28"/>
        </w:rPr>
      </w:pPr>
      <w:r>
        <w:rPr>
          <w:b/>
          <w:sz w:val="28"/>
        </w:rPr>
        <w:t>Wysokość alokacji UE (EUR)</w:t>
      </w:r>
    </w:p>
    <w:p w:rsidR="00202C2D" w:rsidRDefault="004366E5">
      <w:pPr>
        <w:rPr>
          <w:b/>
          <w:sz w:val="28"/>
        </w:rPr>
      </w:pPr>
      <w:r>
        <w:rPr>
          <w:sz w:val="28"/>
        </w:rPr>
        <w:t>132 110 883,00</w:t>
      </w:r>
    </w:p>
    <w:p w:rsidR="00202C2D" w:rsidRDefault="004366E5">
      <w:pPr>
        <w:rPr>
          <w:b/>
          <w:sz w:val="28"/>
        </w:rPr>
      </w:pPr>
      <w:r>
        <w:rPr>
          <w:b/>
          <w:sz w:val="28"/>
        </w:rPr>
        <w:lastRenderedPageBreak/>
        <w:t>Zakres interwencji</w:t>
      </w:r>
    </w:p>
    <w:p w:rsidR="00202C2D" w:rsidRDefault="004366E5">
      <w:pPr>
        <w:rPr>
          <w:b/>
          <w:sz w:val="28"/>
        </w:rPr>
      </w:pPr>
      <w:r>
        <w:rPr>
          <w:sz w:val="28"/>
        </w:rPr>
        <w:t>090 - Nowo wybudowane lub rozbudowane inne krajowe, regionalne i lokalne drogi dojazdowe, 093 - Inne drogi przebudowane lub zmodernizowane (autostrady, drogi krajowe, regionalne lub lokalne)</w:t>
      </w:r>
    </w:p>
    <w:p w:rsidR="00202C2D" w:rsidRDefault="004366E5">
      <w:pPr>
        <w:rPr>
          <w:b/>
          <w:sz w:val="28"/>
        </w:rPr>
      </w:pPr>
      <w:r>
        <w:rPr>
          <w:b/>
          <w:sz w:val="28"/>
        </w:rPr>
        <w:t>Opis działania</w:t>
      </w:r>
    </w:p>
    <w:p w:rsidR="00202C2D" w:rsidRDefault="004366E5">
      <w:pPr>
        <w:rPr>
          <w:b/>
          <w:sz w:val="28"/>
        </w:rPr>
      </w:pPr>
      <w:r>
        <w:rPr>
          <w:sz w:val="28"/>
        </w:rPr>
        <w:t xml:space="preserve">W ramach Działania wspierane będą projekty prowadzące do rozwoju mobilności regionalnej poprzez rozwój infrastruktury dróg wojewódzkich, realizowane w sposób kompleksowy i koordynowany przez Samorząd Województwa Pomorskiego. </w:t>
      </w:r>
    </w:p>
    <w:p w:rsidR="00202C2D" w:rsidRDefault="004366E5">
      <w:pPr>
        <w:rPr>
          <w:b/>
          <w:sz w:val="28"/>
        </w:rPr>
      </w:pPr>
      <w:r>
        <w:rPr>
          <w:sz w:val="28"/>
        </w:rPr>
        <w:t>Przedmiotem projektów będą wyłącznie inwestycje stanowiące elementy następujących przedsięwzięć strategicznych:</w:t>
      </w:r>
    </w:p>
    <w:p w:rsidR="00202C2D" w:rsidRDefault="004366E5">
      <w:pPr>
        <w:rPr>
          <w:b/>
          <w:sz w:val="28"/>
        </w:rPr>
      </w:pPr>
      <w:r>
        <w:rPr>
          <w:sz w:val="28"/>
        </w:rPr>
        <w:t xml:space="preserve">1. „Pakiet przedsięwzięć w zakresie rozbudowy podstawowego układu dróg wojewódzkich dowiązujących region do węzłów sieci TEN-T”, </w:t>
      </w:r>
    </w:p>
    <w:p w:rsidR="00202C2D" w:rsidRDefault="004366E5">
      <w:pPr>
        <w:rPr>
          <w:b/>
          <w:sz w:val="28"/>
        </w:rPr>
      </w:pPr>
      <w:r>
        <w:rPr>
          <w:sz w:val="28"/>
        </w:rPr>
        <w:t>2. „Pakiet przedsięwzięć w zakresie budowy podstawowego układu dróg wojewódzkich dowiązujących region do węzłów drogowych sieci TEN-T”</w:t>
      </w:r>
    </w:p>
    <w:p w:rsidR="00202C2D" w:rsidRDefault="004366E5">
      <w:pPr>
        <w:rPr>
          <w:b/>
          <w:sz w:val="28"/>
        </w:rPr>
      </w:pPr>
      <w:r>
        <w:rPr>
          <w:sz w:val="28"/>
        </w:rPr>
        <w:t>wpisanych do Regionalnego Programu Strategicznego w zakresie mobilności i komunikacji.</w:t>
      </w:r>
    </w:p>
    <w:p w:rsidR="00202C2D" w:rsidRDefault="004366E5">
      <w:pPr>
        <w:rPr>
          <w:b/>
          <w:sz w:val="28"/>
        </w:rPr>
      </w:pPr>
      <w:r>
        <w:rPr>
          <w:sz w:val="28"/>
        </w:rPr>
        <w:t xml:space="preserve">Inwestycje będą służyły uzupełnianiu luk w zakresie bezpośrednich połączeń do sieci TEN-T, terenów inwestycyjnych, terminali intermodalnych/centrów logistycznych, węzłów transportowych. </w:t>
      </w:r>
    </w:p>
    <w:p w:rsidR="00202C2D" w:rsidRDefault="004366E5">
      <w:pPr>
        <w:rPr>
          <w:b/>
          <w:sz w:val="28"/>
        </w:rPr>
      </w:pPr>
      <w:r>
        <w:rPr>
          <w:sz w:val="28"/>
        </w:rP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p>
    <w:p w:rsidR="00202C2D" w:rsidRDefault="004366E5">
      <w:pPr>
        <w:rPr>
          <w:b/>
          <w:sz w:val="28"/>
        </w:rPr>
      </w:pPr>
      <w:r>
        <w:rPr>
          <w:sz w:val="28"/>
        </w:rPr>
        <w:t xml:space="preserve">Typy projektów: </w:t>
      </w:r>
    </w:p>
    <w:p w:rsidR="00202C2D" w:rsidRDefault="004366E5">
      <w:pPr>
        <w:rPr>
          <w:b/>
          <w:sz w:val="28"/>
        </w:rPr>
      </w:pPr>
      <w:r>
        <w:rPr>
          <w:sz w:val="28"/>
        </w:rPr>
        <w:lastRenderedPageBreak/>
        <w:t xml:space="preserve">Budowa, przebudowa i rozbudowa dróg wojewódzkich, m.in. w zakresie obwodnic, skrzyżowań, węzłów, poszerzeń przekroju jezdni, ciągów ruchu uspokojonego przy przejściach przez małe miejscowości i wzmocnienia nawierzchni drogowej. </w:t>
      </w:r>
    </w:p>
    <w:p w:rsidR="00202C2D" w:rsidRDefault="004366E5">
      <w:pPr>
        <w:rPr>
          <w:b/>
          <w:sz w:val="28"/>
        </w:rPr>
      </w:pPr>
      <w:r>
        <w:rPr>
          <w:sz w:val="28"/>
        </w:rPr>
        <w:t>Ponadto, w ramach ww. typu projektu możliwe będą:</w:t>
      </w:r>
    </w:p>
    <w:p w:rsidR="00202C2D" w:rsidRDefault="004366E5">
      <w:pPr>
        <w:rPr>
          <w:b/>
          <w:sz w:val="28"/>
        </w:rPr>
      </w:pPr>
      <w:r>
        <w:rPr>
          <w:sz w:val="28"/>
        </w:rPr>
        <w:t>a. budowa, przebudowa, rozbudowa lub remont drogowych obiektów inżynierskich, w tym m.in. mostów, wiaduktów, estakad, tuneli drogowych, kładek dla pieszych, przejść podziemnych, przepustów i przejść dla zwierząt;</w:t>
      </w:r>
    </w:p>
    <w:p w:rsidR="00202C2D" w:rsidRDefault="004366E5">
      <w:pPr>
        <w:rPr>
          <w:b/>
          <w:sz w:val="28"/>
        </w:rPr>
      </w:pPr>
      <w:r>
        <w:rPr>
          <w:sz w:val="28"/>
        </w:rPr>
        <w:t xml:space="preserve">b. budowa, przebudowa i rozbudowa wyposażenia technicznego dróg, w tym m.in. urządzeń odwadniających, oświetlenia, obsługi uczestników ruchu i urządzeń technicznych (np. bariery ochronne, osłony </w:t>
      </w:r>
      <w:proofErr w:type="spellStart"/>
      <w:r>
        <w:rPr>
          <w:sz w:val="28"/>
        </w:rPr>
        <w:t>przeciwolśnieniowe</w:t>
      </w:r>
      <w:proofErr w:type="spellEnd"/>
      <w:r>
        <w:rPr>
          <w:sz w:val="28"/>
        </w:rPr>
        <w:t>, ekrany akustyczne, zieleń);</w:t>
      </w:r>
    </w:p>
    <w:p w:rsidR="00202C2D" w:rsidRDefault="004366E5">
      <w:pPr>
        <w:rPr>
          <w:b/>
          <w:sz w:val="28"/>
        </w:rPr>
      </w:pPr>
      <w:r>
        <w:rPr>
          <w:sz w:val="28"/>
        </w:rPr>
        <w:t>c. budowa, przebudowa i rozbudowa dróg dla pieszych, chodników, dróg rowerowych, ciągów pieszo-jezdnych, zatok autobusowych, kanalizacji teletechnicznej;</w:t>
      </w:r>
    </w:p>
    <w:p w:rsidR="00202C2D" w:rsidRDefault="004366E5">
      <w:pPr>
        <w:rPr>
          <w:b/>
          <w:sz w:val="28"/>
        </w:rPr>
      </w:pPr>
      <w:r>
        <w:rPr>
          <w:sz w:val="28"/>
        </w:rPr>
        <w:t>d. budowa, przebudowa i rozbudowa urządzeń organizacji i bezpieczeństwa ruchu drogowego, w tym m. in. urządzeń sterowania ruchem, środków uspokojenia ruchu, urządzeń systemu zarządzania bezpieczeństwem ruchu;</w:t>
      </w:r>
    </w:p>
    <w:p w:rsidR="00202C2D" w:rsidRDefault="004366E5">
      <w:pPr>
        <w:rPr>
          <w:b/>
          <w:sz w:val="28"/>
        </w:rPr>
      </w:pPr>
      <w:r>
        <w:rPr>
          <w:sz w:val="28"/>
        </w:rPr>
        <w:t>e. usunięcie kolizji z urządzeniami obcymi;</w:t>
      </w:r>
    </w:p>
    <w:p w:rsidR="00202C2D" w:rsidRDefault="004366E5">
      <w:pPr>
        <w:rPr>
          <w:b/>
          <w:sz w:val="28"/>
        </w:rPr>
      </w:pPr>
      <w:r>
        <w:rPr>
          <w:sz w:val="28"/>
        </w:rPr>
        <w:t>f. realizacja działań w zakresie inteligentnych systemów transportowych (ITS).</w:t>
      </w:r>
    </w:p>
    <w:p w:rsidR="00202C2D" w:rsidRDefault="004366E5">
      <w:pPr>
        <w:rPr>
          <w:b/>
          <w:sz w:val="28"/>
        </w:rPr>
      </w:pPr>
      <w:r>
        <w:rPr>
          <w:sz w:val="28"/>
        </w:rPr>
        <w:t>Najważniejsze warunki realizacji projektów:</w:t>
      </w:r>
    </w:p>
    <w:p w:rsidR="00202C2D" w:rsidRDefault="004366E5">
      <w:pPr>
        <w:rPr>
          <w:b/>
          <w:sz w:val="28"/>
        </w:rPr>
      </w:pPr>
      <w:r>
        <w:rPr>
          <w:sz w:val="28"/>
        </w:rPr>
        <w:t xml:space="preserve">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w:t>
      </w:r>
      <w:r>
        <w:rPr>
          <w:sz w:val="28"/>
        </w:rPr>
        <w:lastRenderedPageBreak/>
        <w:t>komunikacji, stanowiącego „Regionalny Plan Transportowy dla Województwa Pomorskiego 2030”.</w:t>
      </w:r>
    </w:p>
    <w:p w:rsidR="00202C2D" w:rsidRDefault="004366E5">
      <w:pPr>
        <w:rPr>
          <w:b/>
          <w:sz w:val="28"/>
        </w:rPr>
      </w:pPr>
      <w:r>
        <w:rPr>
          <w:sz w:val="28"/>
        </w:rPr>
        <w:t>2. Inwestycje realizowane w miastach będą musiały być spójne z właściwym Planem Zrównoważonej Mobilności Miejskiej, a jeśli nie jest on wymagany – z innym właściwym dokumentem planowania mobilności miejskiej.</w:t>
      </w:r>
    </w:p>
    <w:p w:rsidR="00202C2D" w:rsidRDefault="004366E5">
      <w:pPr>
        <w:rPr>
          <w:b/>
          <w:sz w:val="28"/>
        </w:rPr>
      </w:pPr>
      <w:r>
        <w:rPr>
          <w:sz w:val="28"/>
        </w:rPr>
        <w:t>3. Inwestycje muszą zapewnić dostosowanie nośności dróg do nacisku 11,5 tony na oś.</w:t>
      </w:r>
    </w:p>
    <w:p w:rsidR="00202C2D" w:rsidRDefault="004366E5">
      <w:pPr>
        <w:rPr>
          <w:b/>
          <w:sz w:val="28"/>
        </w:rPr>
      </w:pPr>
      <w:r>
        <w:rPr>
          <w:sz w:val="28"/>
        </w:rPr>
        <w:t>4. Tam gdzie jest to technicznie możliwe - projekty powinny obejmować elementy dotyczące retencji i podczyszczania wód opadowych poprzez wykorzystanie zielonej i niebieskiej infrastruktury oraz rozwiązań opartych na przyrodzie.</w:t>
      </w:r>
    </w:p>
    <w:p w:rsidR="00202C2D" w:rsidRDefault="004366E5">
      <w:pPr>
        <w:rPr>
          <w:b/>
          <w:sz w:val="28"/>
        </w:rPr>
      </w:pPr>
      <w:r>
        <w:rPr>
          <w:sz w:val="28"/>
        </w:rP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p>
    <w:p w:rsidR="00202C2D" w:rsidRDefault="004366E5">
      <w:pPr>
        <w:rPr>
          <w:b/>
          <w:sz w:val="28"/>
        </w:rPr>
      </w:pPr>
      <w:r>
        <w:rPr>
          <w:sz w:val="28"/>
        </w:rPr>
        <w:t>6. Inwestycje muszą uwzględniać kwestie bezpieczeństwa, w szczególności na rzecz niezmotoryzowanych i niechronionych (pieszych, rowerzystów) uczestników ruchu.</w:t>
      </w:r>
    </w:p>
    <w:p w:rsidR="00202C2D" w:rsidRDefault="004366E5">
      <w:pPr>
        <w:rPr>
          <w:b/>
          <w:sz w:val="28"/>
        </w:rPr>
      </w:pPr>
      <w:r>
        <w:rPr>
          <w:sz w:val="28"/>
        </w:rPr>
        <w:t>7.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lastRenderedPageBreak/>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  </w:t>
      </w:r>
    </w:p>
    <w:p w:rsidR="00202C2D" w:rsidRDefault="004366E5">
      <w:pPr>
        <w:rPr>
          <w:b/>
          <w:sz w:val="28"/>
        </w:rPr>
      </w:pPr>
      <w:r>
        <w:rPr>
          <w:sz w:val="28"/>
        </w:rPr>
        <w:t>Ukierunkowanie terytorialne:</w:t>
      </w:r>
    </w:p>
    <w:p w:rsidR="00202C2D" w:rsidRDefault="004366E5">
      <w:pPr>
        <w:rPr>
          <w:b/>
          <w:sz w:val="28"/>
        </w:rPr>
      </w:pPr>
      <w:r>
        <w:rPr>
          <w:sz w:val="28"/>
        </w:rPr>
        <w:t>Obszar całego województwa.</w:t>
      </w:r>
    </w:p>
    <w:p w:rsidR="00202C2D" w:rsidRDefault="004366E5">
      <w:pPr>
        <w:rPr>
          <w:b/>
          <w:sz w:val="28"/>
        </w:rPr>
      </w:pPr>
      <w:r>
        <w:rPr>
          <w:sz w:val="28"/>
        </w:rPr>
        <w:t>Preferowane będą projekty posiadające dokumentację przygotowawczą sfinansowaną w ramach perspektywy 2014-2020.</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Bez pomocy</w:t>
      </w:r>
    </w:p>
    <w:p w:rsidR="00202C2D" w:rsidRDefault="004366E5">
      <w:pPr>
        <w:rPr>
          <w:b/>
          <w:sz w:val="28"/>
        </w:rPr>
      </w:pPr>
      <w:r>
        <w:rPr>
          <w:b/>
          <w:sz w:val="28"/>
        </w:rPr>
        <w:t>Pomoc publiczna – krajowa podstawa prawna</w:t>
      </w:r>
    </w:p>
    <w:p w:rsidR="00202C2D" w:rsidRDefault="004366E5">
      <w:pPr>
        <w:rPr>
          <w:b/>
          <w:sz w:val="28"/>
        </w:rPr>
      </w:pPr>
      <w:r>
        <w:rPr>
          <w:sz w:val="28"/>
        </w:rPr>
        <w:t>Bez pomocy</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lastRenderedPageBreak/>
        <w:t>Sposób wyboru projektów</w:t>
      </w:r>
    </w:p>
    <w:p w:rsidR="00202C2D" w:rsidRDefault="004366E5">
      <w:pPr>
        <w:rPr>
          <w:b/>
          <w:sz w:val="28"/>
        </w:rPr>
      </w:pPr>
      <w:r>
        <w:rPr>
          <w:sz w:val="28"/>
        </w:rPr>
        <w:t>Niekonkurencyjny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Służby publiczne</w:t>
      </w:r>
    </w:p>
    <w:p w:rsidR="00202C2D" w:rsidRDefault="004366E5">
      <w:pPr>
        <w:rPr>
          <w:b/>
          <w:sz w:val="28"/>
        </w:rPr>
      </w:pPr>
      <w:r>
        <w:rPr>
          <w:b/>
          <w:sz w:val="28"/>
        </w:rPr>
        <w:t>Typ beneficjenta – szczegółowy</w:t>
      </w:r>
    </w:p>
    <w:p w:rsidR="00202C2D" w:rsidRDefault="004366E5">
      <w:pPr>
        <w:rPr>
          <w:b/>
          <w:sz w:val="28"/>
        </w:rPr>
      </w:pPr>
      <w:r>
        <w:rPr>
          <w:sz w:val="28"/>
        </w:rPr>
        <w:t>Jednostki organizacyjne działające w imieniu jednostek samorządu terytorialnego, Jednostki Samorządu Terytorialnego, Zarządcy dróg publicznych</w:t>
      </w:r>
    </w:p>
    <w:p w:rsidR="00202C2D" w:rsidRDefault="004366E5">
      <w:pPr>
        <w:rPr>
          <w:b/>
          <w:sz w:val="28"/>
        </w:rPr>
      </w:pPr>
      <w:r>
        <w:rPr>
          <w:b/>
          <w:sz w:val="28"/>
        </w:rPr>
        <w:t>Grupa docelowa</w:t>
      </w:r>
    </w:p>
    <w:p w:rsidR="00202C2D" w:rsidRDefault="004366E5">
      <w:pPr>
        <w:rPr>
          <w:b/>
          <w:sz w:val="28"/>
        </w:rPr>
      </w:pPr>
      <w:r>
        <w:rPr>
          <w:sz w:val="28"/>
        </w:rPr>
        <w:t>użytkownicy indywidualni korzystający z infrastruktury</w:t>
      </w:r>
    </w:p>
    <w:p w:rsidR="00202C2D" w:rsidRDefault="004366E5">
      <w:pPr>
        <w:rPr>
          <w:b/>
          <w:sz w:val="28"/>
        </w:rPr>
      </w:pPr>
      <w:r>
        <w:rPr>
          <w:b/>
          <w:sz w:val="28"/>
        </w:rPr>
        <w:t>Słowa kluczowe</w:t>
      </w:r>
    </w:p>
    <w:p w:rsidR="00202C2D" w:rsidRDefault="004366E5">
      <w:pPr>
        <w:rPr>
          <w:b/>
          <w:sz w:val="28"/>
        </w:rPr>
      </w:pPr>
      <w:proofErr w:type="spellStart"/>
      <w:r>
        <w:rPr>
          <w:sz w:val="28"/>
        </w:rPr>
        <w:t>bezpieczeństwo_ruchu</w:t>
      </w:r>
      <w:proofErr w:type="spellEnd"/>
      <w:r>
        <w:rPr>
          <w:sz w:val="28"/>
        </w:rPr>
        <w:t xml:space="preserve">, drogi, </w:t>
      </w:r>
      <w:proofErr w:type="spellStart"/>
      <w:r>
        <w:rPr>
          <w:sz w:val="28"/>
        </w:rPr>
        <w:t>drogi_wojewódzkie</w:t>
      </w:r>
      <w:proofErr w:type="spellEnd"/>
      <w:r>
        <w:rPr>
          <w:sz w:val="28"/>
        </w:rPr>
        <w:t>, obwodnice</w:t>
      </w:r>
    </w:p>
    <w:p w:rsidR="00202C2D" w:rsidRDefault="004366E5">
      <w:pPr>
        <w:rPr>
          <w:b/>
          <w:sz w:val="28"/>
        </w:rPr>
      </w:pPr>
      <w:r>
        <w:rPr>
          <w:b/>
          <w:sz w:val="28"/>
        </w:rPr>
        <w:t>Kryteria wyboru projektów</w:t>
      </w:r>
    </w:p>
    <w:p w:rsidR="00202C2D" w:rsidRDefault="004366E5">
      <w:pPr>
        <w:rPr>
          <w:b/>
          <w:sz w:val="28"/>
        </w:rPr>
      </w:pPr>
      <w:r>
        <w:rPr>
          <w:sz w:val="28"/>
        </w:rPr>
        <w:t>https://www.rpo.pomorskie.eu/kryteria-wyboru-projektow-zatwierdzone-przez-km</w:t>
      </w:r>
    </w:p>
    <w:p w:rsidR="00202C2D" w:rsidRDefault="004366E5">
      <w:pPr>
        <w:rPr>
          <w:b/>
          <w:sz w:val="28"/>
        </w:rPr>
      </w:pPr>
      <w:r>
        <w:rPr>
          <w:b/>
          <w:sz w:val="28"/>
        </w:rPr>
        <w:t>Wskaźniki produktu</w:t>
      </w:r>
    </w:p>
    <w:p w:rsidR="00202C2D" w:rsidRDefault="004366E5">
      <w:pPr>
        <w:rPr>
          <w:b/>
          <w:sz w:val="28"/>
        </w:rPr>
      </w:pPr>
      <w:r>
        <w:rPr>
          <w:sz w:val="28"/>
        </w:rPr>
        <w:t>WLWK-RCO046 - Długość dróg przebudowanych lub zmodernizowanych – poza TEN-T</w:t>
      </w:r>
    </w:p>
    <w:p w:rsidR="00202C2D" w:rsidRDefault="004366E5">
      <w:pPr>
        <w:rPr>
          <w:b/>
          <w:sz w:val="28"/>
        </w:rPr>
      </w:pPr>
      <w:r>
        <w:rPr>
          <w:sz w:val="28"/>
        </w:rPr>
        <w:t>WLWK-RCO058 - Wspierana infrastruktura rowerowa</w:t>
      </w:r>
    </w:p>
    <w:p w:rsidR="00202C2D" w:rsidRDefault="004366E5">
      <w:pPr>
        <w:rPr>
          <w:b/>
          <w:sz w:val="28"/>
        </w:rPr>
      </w:pPr>
      <w:r>
        <w:rPr>
          <w:b/>
          <w:sz w:val="28"/>
        </w:rPr>
        <w:t>Wskaźniki rezultatu</w:t>
      </w:r>
    </w:p>
    <w:p w:rsidR="00202C2D" w:rsidRDefault="004366E5">
      <w:pPr>
        <w:rPr>
          <w:b/>
          <w:sz w:val="28"/>
        </w:rPr>
      </w:pPr>
      <w:r>
        <w:rPr>
          <w:sz w:val="28"/>
        </w:rPr>
        <w:t>WLWK-RCR056 - Oszczędność czasu dzięki udoskonalonej infrastrukturze drogowej</w:t>
      </w:r>
    </w:p>
    <w:p w:rsidR="00202C2D" w:rsidRDefault="004366E5">
      <w:pPr>
        <w:rPr>
          <w:b/>
          <w:sz w:val="28"/>
        </w:rPr>
      </w:pPr>
      <w:r>
        <w:rPr>
          <w:sz w:val="28"/>
        </w:rPr>
        <w:lastRenderedPageBreak/>
        <w:t>WLWK-RCR055 - Roczna liczba użytkowników nowo wybudowanych, przebudowanych, rozbudowanych lub zmodernizowanych dróg</w:t>
      </w:r>
    </w:p>
    <w:p w:rsidR="00202C2D" w:rsidRDefault="00202C2D">
      <w:pPr>
        <w:rPr>
          <w:b/>
          <w:sz w:val="28"/>
        </w:rPr>
      </w:pPr>
    </w:p>
    <w:p w:rsidR="00202C2D" w:rsidRDefault="004366E5">
      <w:pPr>
        <w:pStyle w:val="Nagwek3"/>
        <w:rPr>
          <w:rFonts w:ascii="Calibri" w:hAnsi="Calibri" w:cs="Calibri"/>
          <w:sz w:val="32"/>
        </w:rPr>
      </w:pPr>
      <w:bookmarkStart w:id="12" w:name="_Toc132713997"/>
      <w:r>
        <w:rPr>
          <w:rFonts w:ascii="Calibri" w:hAnsi="Calibri" w:cs="Calibri"/>
          <w:sz w:val="32"/>
        </w:rPr>
        <w:t>Działanie FEPM.04.02 Tabor kolejowy</w:t>
      </w:r>
      <w:bookmarkEnd w:id="12"/>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202C2D" w:rsidRDefault="004366E5">
      <w:pPr>
        <w:rPr>
          <w:b/>
          <w:sz w:val="28"/>
        </w:rPr>
      </w:pPr>
      <w:r>
        <w:rPr>
          <w:b/>
          <w:sz w:val="28"/>
        </w:rPr>
        <w:t>Wysokość alokacji UE (EUR)</w:t>
      </w:r>
    </w:p>
    <w:p w:rsidR="00202C2D" w:rsidRDefault="004366E5">
      <w:pPr>
        <w:rPr>
          <w:b/>
          <w:sz w:val="28"/>
        </w:rPr>
      </w:pPr>
      <w:r>
        <w:rPr>
          <w:sz w:val="28"/>
        </w:rPr>
        <w:t>118 610 885,00</w:t>
      </w:r>
    </w:p>
    <w:p w:rsidR="00202C2D" w:rsidRDefault="004366E5">
      <w:pPr>
        <w:rPr>
          <w:b/>
          <w:sz w:val="28"/>
        </w:rPr>
      </w:pPr>
      <w:r>
        <w:rPr>
          <w:b/>
          <w:sz w:val="28"/>
        </w:rPr>
        <w:t>Zakres interwencji</w:t>
      </w:r>
    </w:p>
    <w:p w:rsidR="00202C2D" w:rsidRDefault="004366E5">
      <w:pPr>
        <w:rPr>
          <w:b/>
          <w:sz w:val="28"/>
        </w:rPr>
      </w:pPr>
      <w:r>
        <w:rPr>
          <w:sz w:val="28"/>
        </w:rPr>
        <w:t xml:space="preserve">107 - </w:t>
      </w:r>
      <w:proofErr w:type="spellStart"/>
      <w:r>
        <w:rPr>
          <w:sz w:val="28"/>
        </w:rPr>
        <w:t>Bezemisyjny</w:t>
      </w:r>
      <w:proofErr w:type="spellEnd"/>
      <w:r>
        <w:rPr>
          <w:sz w:val="28"/>
        </w:rPr>
        <w:t xml:space="preserve"> / zasilany energią elektryczną tabor kolejowy</w:t>
      </w:r>
    </w:p>
    <w:p w:rsidR="00202C2D" w:rsidRDefault="004366E5">
      <w:pPr>
        <w:rPr>
          <w:b/>
          <w:sz w:val="28"/>
        </w:rPr>
      </w:pPr>
      <w:r>
        <w:rPr>
          <w:b/>
          <w:sz w:val="28"/>
        </w:rPr>
        <w:t>Opis działania</w:t>
      </w:r>
    </w:p>
    <w:p w:rsidR="00202C2D" w:rsidRDefault="004366E5">
      <w:pPr>
        <w:rPr>
          <w:b/>
          <w:sz w:val="28"/>
        </w:rPr>
      </w:pPr>
      <w:r>
        <w:rPr>
          <w:sz w:val="28"/>
        </w:rPr>
        <w:t>W ramach Działania wspierane będą projekty prowadzące do rozwoju mobilności regionalnej poprzez zakup taboru kolejowego do przewozów o charakterze regionalnym, realizowane w sposób kompleksowy i koordynowany przez Samorząd Województwa Pomorskiego.</w:t>
      </w:r>
    </w:p>
    <w:p w:rsidR="00202C2D" w:rsidRDefault="004366E5">
      <w:pPr>
        <w:rPr>
          <w:b/>
          <w:sz w:val="28"/>
        </w:rPr>
      </w:pPr>
      <w:r>
        <w:rPr>
          <w:sz w:val="28"/>
        </w:rPr>
        <w:t>Interwencja w ramach Działania ma na celu zwiększenie przewozów w regionalnym pasażerskim transporcie kolejowym.</w:t>
      </w:r>
    </w:p>
    <w:p w:rsidR="00202C2D" w:rsidRDefault="004366E5">
      <w:pPr>
        <w:rPr>
          <w:b/>
          <w:sz w:val="28"/>
        </w:rPr>
      </w:pPr>
      <w:r>
        <w:rPr>
          <w:sz w:val="28"/>
        </w:rP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p>
    <w:p w:rsidR="00202C2D" w:rsidRDefault="004366E5">
      <w:pPr>
        <w:rPr>
          <w:b/>
          <w:sz w:val="28"/>
        </w:rPr>
      </w:pPr>
      <w:r>
        <w:rPr>
          <w:sz w:val="28"/>
        </w:rPr>
        <w:t>Typy projektów:</w:t>
      </w:r>
    </w:p>
    <w:p w:rsidR="00202C2D" w:rsidRDefault="004366E5">
      <w:pPr>
        <w:rPr>
          <w:b/>
          <w:sz w:val="28"/>
        </w:rPr>
      </w:pPr>
      <w:r>
        <w:rPr>
          <w:sz w:val="28"/>
        </w:rPr>
        <w:lastRenderedPageBreak/>
        <w:t xml:space="preserve">1. Zakup zeroemisyjnego taboru kolejowego wykorzystywanego w regionalnych przewozach pasażerskich, spełniającego wymagania Europejskiego Systemu Zarządzania Ruchem Kolejowym (ERTMS); </w:t>
      </w:r>
    </w:p>
    <w:p w:rsidR="00202C2D" w:rsidRDefault="004366E5">
      <w:pPr>
        <w:rPr>
          <w:b/>
          <w:sz w:val="28"/>
        </w:rPr>
      </w:pPr>
      <w:r>
        <w:rPr>
          <w:sz w:val="28"/>
        </w:rPr>
        <w:t>2. Budowa, rozbudowa lub przebudowa istniejącej infrastruktury utrzymaniowo-naprawczej służącej do obsługi w szczególności taboru, o którym mowa w pierwszym typie projektu.</w:t>
      </w:r>
    </w:p>
    <w:p w:rsidR="00202C2D" w:rsidRDefault="004366E5">
      <w:pPr>
        <w:rPr>
          <w:b/>
          <w:sz w:val="28"/>
        </w:rPr>
      </w:pPr>
      <w:r>
        <w:rPr>
          <w:sz w:val="28"/>
        </w:rPr>
        <w:t>Najważniejsze warunki realizacji projektów:</w:t>
      </w:r>
    </w:p>
    <w:p w:rsidR="00202C2D" w:rsidRDefault="004366E5">
      <w:pPr>
        <w:rPr>
          <w:b/>
          <w:sz w:val="28"/>
        </w:rPr>
      </w:pPr>
      <w:r>
        <w:rPr>
          <w:sz w:val="28"/>
        </w:rP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p>
    <w:p w:rsidR="00202C2D" w:rsidRDefault="004366E5">
      <w:pPr>
        <w:rPr>
          <w:b/>
          <w:sz w:val="28"/>
        </w:rPr>
      </w:pPr>
      <w:r>
        <w:rPr>
          <w:sz w:val="28"/>
        </w:rP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p>
    <w:p w:rsidR="00202C2D" w:rsidRDefault="004366E5">
      <w:pPr>
        <w:rPr>
          <w:b/>
          <w:sz w:val="28"/>
        </w:rPr>
      </w:pPr>
      <w:r>
        <w:rPr>
          <w:sz w:val="28"/>
        </w:rP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p>
    <w:p w:rsidR="00202C2D" w:rsidRDefault="004366E5">
      <w:pPr>
        <w:rPr>
          <w:b/>
          <w:sz w:val="28"/>
        </w:rPr>
      </w:pPr>
      <w:r>
        <w:rPr>
          <w:sz w:val="28"/>
        </w:rPr>
        <w:t>4. Podatek VAT w projekcie jest niekwalifikowalny;</w:t>
      </w:r>
    </w:p>
    <w:p w:rsidR="00202C2D" w:rsidRDefault="004366E5">
      <w:pPr>
        <w:rPr>
          <w:b/>
          <w:sz w:val="28"/>
        </w:rPr>
      </w:pPr>
      <w:r>
        <w:rPr>
          <w:sz w:val="28"/>
        </w:rPr>
        <w:t>5.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lastRenderedPageBreak/>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w:t>
      </w:r>
    </w:p>
    <w:p w:rsidR="00202C2D" w:rsidRDefault="004366E5">
      <w:pPr>
        <w:rPr>
          <w:b/>
          <w:sz w:val="28"/>
        </w:rPr>
      </w:pPr>
      <w:r>
        <w:rPr>
          <w:sz w:val="28"/>
        </w:rPr>
        <w:t>Ukierunkowanie terytorialne:</w:t>
      </w:r>
    </w:p>
    <w:p w:rsidR="00202C2D" w:rsidRDefault="004366E5">
      <w:pPr>
        <w:rPr>
          <w:b/>
          <w:sz w:val="28"/>
        </w:rPr>
      </w:pPr>
      <w:r>
        <w:rPr>
          <w:sz w:val="28"/>
        </w:rPr>
        <w:t>Obszar całego województwa.</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w:t>
      </w:r>
      <w:r>
        <w:rPr>
          <w:sz w:val="28"/>
        </w:rPr>
        <w:lastRenderedPageBreak/>
        <w:t>interesie gospodarczym,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Niekonkurencyjny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Przedsiębiorstwa realizujące cele publiczne, Służby publiczne</w:t>
      </w:r>
    </w:p>
    <w:p w:rsidR="00202C2D" w:rsidRDefault="004366E5">
      <w:pPr>
        <w:rPr>
          <w:b/>
          <w:sz w:val="28"/>
        </w:rPr>
      </w:pPr>
      <w:r>
        <w:rPr>
          <w:b/>
          <w:sz w:val="28"/>
        </w:rPr>
        <w:t>Typ beneficjenta – szczegółowy</w:t>
      </w:r>
    </w:p>
    <w:p w:rsidR="00202C2D" w:rsidRDefault="004366E5">
      <w:pPr>
        <w:rPr>
          <w:b/>
          <w:sz w:val="28"/>
        </w:rPr>
      </w:pPr>
      <w:r>
        <w:rPr>
          <w:sz w:val="28"/>
        </w:rPr>
        <w:lastRenderedPageBreak/>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202C2D" w:rsidRDefault="004366E5">
      <w:pPr>
        <w:rPr>
          <w:b/>
          <w:sz w:val="28"/>
        </w:rPr>
      </w:pPr>
      <w:r>
        <w:rPr>
          <w:b/>
          <w:sz w:val="28"/>
        </w:rPr>
        <w:t>Grupa docelowa</w:t>
      </w:r>
    </w:p>
    <w:p w:rsidR="00202C2D" w:rsidRDefault="004366E5">
      <w:pPr>
        <w:rPr>
          <w:b/>
          <w:sz w:val="28"/>
        </w:rPr>
      </w:pPr>
      <w:r>
        <w:rPr>
          <w:sz w:val="28"/>
        </w:rPr>
        <w:t>przedsiębiorcy korzystający z infrastruktury i taboru, użytkownicy indywidualni korzystający z taboru</w:t>
      </w:r>
    </w:p>
    <w:p w:rsidR="00202C2D" w:rsidRDefault="004366E5">
      <w:pPr>
        <w:rPr>
          <w:b/>
          <w:sz w:val="28"/>
        </w:rPr>
      </w:pPr>
      <w:r>
        <w:rPr>
          <w:b/>
          <w:sz w:val="28"/>
        </w:rPr>
        <w:t>Słowa kluczowe</w:t>
      </w:r>
    </w:p>
    <w:p w:rsidR="00202C2D" w:rsidRDefault="004366E5">
      <w:pPr>
        <w:rPr>
          <w:b/>
          <w:sz w:val="28"/>
        </w:rPr>
      </w:pPr>
      <w:proofErr w:type="spellStart"/>
      <w:r>
        <w:rPr>
          <w:sz w:val="28"/>
        </w:rPr>
        <w:t>czysty_transport</w:t>
      </w:r>
      <w:proofErr w:type="spellEnd"/>
      <w:r>
        <w:rPr>
          <w:sz w:val="28"/>
        </w:rPr>
        <w:t xml:space="preserve">, kolej, </w:t>
      </w:r>
      <w:proofErr w:type="spellStart"/>
      <w:r>
        <w:rPr>
          <w:sz w:val="28"/>
        </w:rPr>
        <w:t>komunikacja_zbiorowa</w:t>
      </w:r>
      <w:proofErr w:type="spellEnd"/>
      <w:r>
        <w:rPr>
          <w:sz w:val="28"/>
        </w:rPr>
        <w:t xml:space="preserve">, pociąg, </w:t>
      </w:r>
      <w:proofErr w:type="spellStart"/>
      <w:r>
        <w:rPr>
          <w:sz w:val="28"/>
        </w:rPr>
        <w:t>tabor_ekologiczny</w:t>
      </w:r>
      <w:proofErr w:type="spellEnd"/>
      <w:r>
        <w:rPr>
          <w:sz w:val="28"/>
        </w:rPr>
        <w:t>, transport</w:t>
      </w:r>
    </w:p>
    <w:p w:rsidR="00202C2D" w:rsidRDefault="004366E5">
      <w:pPr>
        <w:rPr>
          <w:b/>
          <w:sz w:val="28"/>
        </w:rPr>
      </w:pPr>
      <w:r>
        <w:rPr>
          <w:b/>
          <w:sz w:val="28"/>
        </w:rPr>
        <w:t>Wielkość podmiotu (w przypadku przedsiębiorstw)</w:t>
      </w:r>
    </w:p>
    <w:p w:rsidR="00202C2D" w:rsidRDefault="004366E5">
      <w:pPr>
        <w:rPr>
          <w:b/>
          <w:sz w:val="28"/>
        </w:rPr>
      </w:pPr>
      <w:r>
        <w:rPr>
          <w:sz w:val="28"/>
        </w:rPr>
        <w:t>Duże</w:t>
      </w:r>
    </w:p>
    <w:p w:rsidR="00202C2D" w:rsidRDefault="004366E5">
      <w:pPr>
        <w:rPr>
          <w:b/>
          <w:sz w:val="28"/>
        </w:rPr>
      </w:pPr>
      <w:r>
        <w:rPr>
          <w:b/>
          <w:sz w:val="28"/>
        </w:rPr>
        <w:t>Kryteria wyboru projektów</w:t>
      </w:r>
    </w:p>
    <w:p w:rsidR="00202C2D" w:rsidRDefault="004366E5">
      <w:pPr>
        <w:rPr>
          <w:b/>
          <w:sz w:val="28"/>
        </w:rPr>
      </w:pPr>
      <w:r>
        <w:rPr>
          <w:sz w:val="28"/>
        </w:rPr>
        <w:t>https://www.rpo.pomorskie.eu/kryteria-wyboru-projektow-zatwierdzone-przez-km</w:t>
      </w:r>
    </w:p>
    <w:p w:rsidR="00202C2D" w:rsidRDefault="004366E5">
      <w:pPr>
        <w:rPr>
          <w:b/>
          <w:sz w:val="28"/>
        </w:rPr>
      </w:pPr>
      <w:r>
        <w:rPr>
          <w:b/>
          <w:sz w:val="28"/>
        </w:rPr>
        <w:t>Wskaźniki produktu</w:t>
      </w:r>
    </w:p>
    <w:p w:rsidR="00202C2D" w:rsidRDefault="004366E5">
      <w:pPr>
        <w:rPr>
          <w:b/>
          <w:sz w:val="28"/>
        </w:rPr>
      </w:pPr>
      <w:r>
        <w:rPr>
          <w:sz w:val="28"/>
        </w:rPr>
        <w:t>WLWK-PLRO229 - Budowa/przebudowa bazy utrzymaniowo-naprawczej taboru kolejowego </w:t>
      </w:r>
    </w:p>
    <w:p w:rsidR="00202C2D" w:rsidRDefault="004366E5">
      <w:pPr>
        <w:rPr>
          <w:b/>
          <w:sz w:val="28"/>
        </w:rPr>
      </w:pPr>
      <w:r>
        <w:rPr>
          <w:sz w:val="28"/>
        </w:rPr>
        <w:t>WLWK-PLRO113 - Liczba zakupionych jednostek kolejowego taboru pasażerskiego</w:t>
      </w:r>
    </w:p>
    <w:p w:rsidR="00202C2D" w:rsidRDefault="004366E5">
      <w:pPr>
        <w:rPr>
          <w:b/>
          <w:sz w:val="28"/>
        </w:rPr>
      </w:pPr>
      <w:r>
        <w:rPr>
          <w:sz w:val="28"/>
        </w:rPr>
        <w:t>WLWK-RCO057 - Pojemność ekologicznego taboru do zbiorowego transportu publicznego</w:t>
      </w:r>
    </w:p>
    <w:p w:rsidR="00202C2D" w:rsidRDefault="004366E5">
      <w:pPr>
        <w:rPr>
          <w:b/>
          <w:sz w:val="28"/>
        </w:rPr>
      </w:pPr>
      <w:r>
        <w:rPr>
          <w:b/>
          <w:sz w:val="28"/>
        </w:rPr>
        <w:t>Wskaźniki rezultatu</w:t>
      </w:r>
    </w:p>
    <w:p w:rsidR="00202C2D" w:rsidRDefault="004366E5">
      <w:pPr>
        <w:rPr>
          <w:b/>
          <w:sz w:val="28"/>
        </w:rPr>
      </w:pPr>
      <w:r>
        <w:rPr>
          <w:sz w:val="28"/>
        </w:rPr>
        <w:t>WLWK-PLRR022 - Liczba osób korzystających z zakupionego lub zmodernizowanego kolejowego taboru pasażerskiego w ciągu roku</w:t>
      </w:r>
    </w:p>
    <w:p w:rsidR="00202C2D" w:rsidRDefault="00202C2D">
      <w:pPr>
        <w:rPr>
          <w:b/>
          <w:sz w:val="28"/>
        </w:rPr>
      </w:pPr>
    </w:p>
    <w:p w:rsidR="00202C2D" w:rsidRDefault="004366E5">
      <w:pPr>
        <w:pStyle w:val="Nagwek2"/>
        <w:rPr>
          <w:rFonts w:ascii="Calibri" w:hAnsi="Calibri" w:cs="Calibri"/>
          <w:i w:val="0"/>
          <w:sz w:val="32"/>
        </w:rPr>
      </w:pPr>
      <w:bookmarkStart w:id="13" w:name="_Toc132713998"/>
      <w:r>
        <w:rPr>
          <w:rFonts w:ascii="Calibri" w:hAnsi="Calibri" w:cs="Calibri"/>
          <w:i w:val="0"/>
          <w:sz w:val="32"/>
        </w:rPr>
        <w:lastRenderedPageBreak/>
        <w:t>Priorytet FEPM.05 Fundusze europejskie dla silnego społecznie Pomorza (EFS+)</w:t>
      </w:r>
      <w:bookmarkEnd w:id="13"/>
    </w:p>
    <w:p w:rsidR="00202C2D" w:rsidRDefault="00202C2D">
      <w:pPr>
        <w:rPr>
          <w:rFonts w:ascii="Calibri" w:hAnsi="Calibri"/>
          <w:sz w:val="32"/>
        </w:rPr>
      </w:pPr>
    </w:p>
    <w:p w:rsidR="00202C2D" w:rsidRDefault="004366E5">
      <w:pPr>
        <w:rPr>
          <w:b/>
          <w:sz w:val="28"/>
        </w:rPr>
      </w:pPr>
      <w:r>
        <w:rPr>
          <w:b/>
          <w:sz w:val="28"/>
        </w:rPr>
        <w:t>Instytucja Zarządzająca</w:t>
      </w:r>
    </w:p>
    <w:p w:rsidR="00202C2D" w:rsidRDefault="004366E5">
      <w:pPr>
        <w:rPr>
          <w:b/>
          <w:sz w:val="28"/>
        </w:rPr>
      </w:pPr>
      <w:r>
        <w:rPr>
          <w:sz w:val="28"/>
        </w:rPr>
        <w:t>Urząd Marszałkowski Województwa Pomorskiego</w:t>
      </w:r>
    </w:p>
    <w:p w:rsidR="00202C2D" w:rsidRDefault="004366E5">
      <w:pPr>
        <w:rPr>
          <w:b/>
          <w:sz w:val="28"/>
        </w:rPr>
      </w:pPr>
      <w:r>
        <w:rPr>
          <w:b/>
          <w:sz w:val="28"/>
        </w:rPr>
        <w:t>Fundusz</w:t>
      </w:r>
    </w:p>
    <w:p w:rsidR="00202C2D" w:rsidRDefault="004366E5">
      <w:pPr>
        <w:rPr>
          <w:b/>
          <w:sz w:val="28"/>
        </w:rPr>
      </w:pPr>
      <w:r>
        <w:rPr>
          <w:sz w:val="28"/>
        </w:rPr>
        <w:t>Europejski Fundusz Społeczny +</w:t>
      </w:r>
    </w:p>
    <w:p w:rsidR="00202C2D" w:rsidRDefault="004366E5">
      <w:pPr>
        <w:rPr>
          <w:b/>
          <w:sz w:val="28"/>
        </w:rPr>
      </w:pPr>
      <w:r>
        <w:rPr>
          <w:b/>
          <w:sz w:val="28"/>
        </w:rPr>
        <w:t>Cel Polityki</w:t>
      </w:r>
    </w:p>
    <w:p w:rsidR="00202C2D" w:rsidRDefault="004366E5">
      <w:pPr>
        <w:rPr>
          <w:b/>
          <w:sz w:val="28"/>
        </w:rPr>
      </w:pPr>
      <w:r>
        <w:rPr>
          <w:sz w:val="28"/>
        </w:rPr>
        <w:t>CP4 - Europa o silniejszym wymiarze społecznym, bardziej sprzyjająca włączeniu społecznemu i wdrażająca Europejski filar praw socjalnych</w:t>
      </w:r>
    </w:p>
    <w:p w:rsidR="00202C2D" w:rsidRDefault="004366E5">
      <w:pPr>
        <w:rPr>
          <w:b/>
          <w:sz w:val="28"/>
        </w:rPr>
      </w:pPr>
      <w:r>
        <w:rPr>
          <w:b/>
          <w:sz w:val="28"/>
        </w:rPr>
        <w:t>Miejsce realizacji</w:t>
      </w:r>
    </w:p>
    <w:p w:rsidR="00202C2D" w:rsidRDefault="004366E5">
      <w:pPr>
        <w:rPr>
          <w:b/>
          <w:sz w:val="28"/>
        </w:rPr>
      </w:pPr>
      <w:r>
        <w:rPr>
          <w:sz w:val="28"/>
        </w:rPr>
        <w:t>POMORSKIE</w:t>
      </w:r>
    </w:p>
    <w:p w:rsidR="00202C2D" w:rsidRDefault="004366E5">
      <w:pPr>
        <w:rPr>
          <w:b/>
          <w:sz w:val="28"/>
        </w:rPr>
      </w:pPr>
      <w:r>
        <w:rPr>
          <w:b/>
          <w:sz w:val="28"/>
        </w:rPr>
        <w:t>Wysokość alokacji UE (EUR)</w:t>
      </w:r>
    </w:p>
    <w:p w:rsidR="00202C2D" w:rsidRDefault="004366E5">
      <w:pPr>
        <w:rPr>
          <w:b/>
          <w:sz w:val="28"/>
        </w:rPr>
      </w:pPr>
      <w:r>
        <w:rPr>
          <w:sz w:val="28"/>
        </w:rPr>
        <w:t>477 237 153,00</w:t>
      </w:r>
    </w:p>
    <w:p w:rsidR="00202C2D" w:rsidRDefault="00202C2D">
      <w:pPr>
        <w:rPr>
          <w:b/>
          <w:sz w:val="28"/>
        </w:rPr>
      </w:pPr>
    </w:p>
    <w:p w:rsidR="00202C2D" w:rsidRDefault="004366E5">
      <w:pPr>
        <w:pStyle w:val="Nagwek3"/>
        <w:rPr>
          <w:rFonts w:ascii="Calibri" w:hAnsi="Calibri" w:cs="Calibri"/>
          <w:sz w:val="32"/>
        </w:rPr>
      </w:pPr>
      <w:bookmarkStart w:id="14" w:name="_Toc132713999"/>
      <w:r>
        <w:rPr>
          <w:rFonts w:ascii="Calibri" w:hAnsi="Calibri" w:cs="Calibri"/>
          <w:sz w:val="32"/>
        </w:rPr>
        <w:t>Działanie FEPM.05.01 Rynek pracy</w:t>
      </w:r>
      <w:bookmarkEnd w:id="14"/>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202C2D" w:rsidRDefault="004366E5">
      <w:pPr>
        <w:rPr>
          <w:b/>
          <w:sz w:val="28"/>
        </w:rPr>
      </w:pPr>
      <w:r>
        <w:rPr>
          <w:b/>
          <w:sz w:val="28"/>
        </w:rPr>
        <w:lastRenderedPageBreak/>
        <w:t>Wysokość alokacji UE (EUR)</w:t>
      </w:r>
    </w:p>
    <w:p w:rsidR="00202C2D" w:rsidRDefault="004366E5">
      <w:pPr>
        <w:rPr>
          <w:b/>
          <w:sz w:val="28"/>
        </w:rPr>
      </w:pPr>
      <w:r>
        <w:rPr>
          <w:sz w:val="28"/>
        </w:rPr>
        <w:t>8 000 000,00</w:t>
      </w:r>
    </w:p>
    <w:p w:rsidR="00202C2D" w:rsidRDefault="004366E5">
      <w:pPr>
        <w:rPr>
          <w:b/>
          <w:sz w:val="28"/>
        </w:rPr>
      </w:pPr>
      <w:r>
        <w:rPr>
          <w:b/>
          <w:sz w:val="28"/>
        </w:rPr>
        <w:t>Zakres interwencji</w:t>
      </w:r>
    </w:p>
    <w:p w:rsidR="00202C2D" w:rsidRDefault="004366E5">
      <w:pPr>
        <w:rPr>
          <w:b/>
          <w:sz w:val="28"/>
        </w:rPr>
      </w:pPr>
      <w:r>
        <w:rPr>
          <w:sz w:val="28"/>
        </w:rPr>
        <w:t>134 - Działania na rzecz poprawy dostępu do zatrudnienia, 136 - Wsparcie szczególne na rzecz zatrudnienia ludzi młodych i integracji społeczno-gospodarczej ludzi młodych</w:t>
      </w:r>
    </w:p>
    <w:p w:rsidR="00202C2D" w:rsidRDefault="004366E5">
      <w:pPr>
        <w:rPr>
          <w:b/>
          <w:sz w:val="28"/>
        </w:rPr>
      </w:pPr>
      <w:r>
        <w:rPr>
          <w:b/>
          <w:sz w:val="28"/>
        </w:rPr>
        <w:t>Opis działania</w:t>
      </w:r>
    </w:p>
    <w:p w:rsidR="00202C2D" w:rsidRDefault="004366E5">
      <w:pPr>
        <w:rPr>
          <w:b/>
          <w:sz w:val="28"/>
        </w:rPr>
      </w:pPr>
      <w:r>
        <w:rPr>
          <w:sz w:val="28"/>
        </w:rPr>
        <w:t xml:space="preserve">Interwencja w ramach Działania odpowiada na wyzwanie, jakim jest poprawa dostępu do zatrudnienia i działań aktywizujących oraz poprawa warunków rozwoju zawodowego pracujących i poszukujących pracy mieszkańców Pomorza. </w:t>
      </w:r>
    </w:p>
    <w:p w:rsidR="00202C2D" w:rsidRDefault="004366E5">
      <w:pPr>
        <w:rPr>
          <w:b/>
          <w:sz w:val="28"/>
        </w:rPr>
      </w:pPr>
      <w:r>
        <w:rPr>
          <w:sz w:val="28"/>
        </w:rP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p>
    <w:p w:rsidR="00202C2D" w:rsidRDefault="004366E5">
      <w:pPr>
        <w:rPr>
          <w:b/>
          <w:sz w:val="28"/>
        </w:rPr>
      </w:pPr>
      <w:r>
        <w:rPr>
          <w:sz w:val="28"/>
        </w:rPr>
        <w:t>Typy projektów:</w:t>
      </w:r>
    </w:p>
    <w:p w:rsidR="00202C2D" w:rsidRDefault="004366E5">
      <w:pPr>
        <w:rPr>
          <w:b/>
          <w:sz w:val="28"/>
        </w:rPr>
      </w:pPr>
      <w:r>
        <w:rPr>
          <w:sz w:val="28"/>
        </w:rP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p>
    <w:p w:rsidR="00202C2D" w:rsidRDefault="004366E5">
      <w:pPr>
        <w:rPr>
          <w:b/>
          <w:sz w:val="28"/>
        </w:rPr>
      </w:pPr>
      <w:r>
        <w:rPr>
          <w:sz w:val="28"/>
        </w:rPr>
        <w:t>a. usługi służące indywidualizacji wsparcia oraz pomocy w zakresie określenia ścieżki zawodowej (obligatoryjne);</w:t>
      </w:r>
    </w:p>
    <w:p w:rsidR="00202C2D" w:rsidRDefault="004366E5">
      <w:pPr>
        <w:rPr>
          <w:b/>
          <w:sz w:val="28"/>
        </w:rPr>
      </w:pPr>
      <w:r>
        <w:rPr>
          <w:sz w:val="28"/>
        </w:rPr>
        <w:t>b. usługi służące zdobyciu i/lub potwierdzaniu kwalifikacji, kompetencji i doświadczenia zawodowego – np. szkolenia, staże, praktyki zawodowe;</w:t>
      </w:r>
    </w:p>
    <w:p w:rsidR="00202C2D" w:rsidRDefault="004366E5">
      <w:pPr>
        <w:rPr>
          <w:b/>
          <w:sz w:val="28"/>
        </w:rPr>
      </w:pPr>
      <w:r>
        <w:rPr>
          <w:sz w:val="28"/>
        </w:rPr>
        <w:t>c. wsparcie stanowiące zachętę do zatrudnienia, np.: wyposażenie/doposażenie stanowiska pracy;</w:t>
      </w:r>
    </w:p>
    <w:p w:rsidR="00202C2D" w:rsidRDefault="004366E5">
      <w:pPr>
        <w:rPr>
          <w:b/>
          <w:sz w:val="28"/>
        </w:rPr>
      </w:pPr>
      <w:r>
        <w:rPr>
          <w:sz w:val="28"/>
        </w:rPr>
        <w:lastRenderedPageBreak/>
        <w:t>d. podnoszenie mobilności przestrzennej (regionalnej i ponadregionalnej), realizowane wyłącznie jako element kompleksowych projektów aktywizacyjnych, np.: pokrycie kosztów dojazdów, dodatek relokacyjny.</w:t>
      </w:r>
    </w:p>
    <w:p w:rsidR="00202C2D" w:rsidRDefault="004366E5">
      <w:pPr>
        <w:rPr>
          <w:b/>
          <w:sz w:val="28"/>
        </w:rPr>
      </w:pPr>
      <w:r>
        <w:rPr>
          <w:sz w:val="28"/>
        </w:rPr>
        <w:t>2. Kompleksowe wsparcie na rynku pracy osób młodych (18-29 lat) należących do kategorii NEET w ramach inicjatywy ALMA.</w:t>
      </w:r>
    </w:p>
    <w:p w:rsidR="00202C2D" w:rsidRDefault="004366E5">
      <w:pPr>
        <w:rPr>
          <w:b/>
          <w:sz w:val="28"/>
        </w:rPr>
      </w:pPr>
      <w:r>
        <w:rPr>
          <w:sz w:val="28"/>
        </w:rPr>
        <w:t>3. Aktywizacja edukacyjno-zawodowa, skierowana do osób młodych pozostających bez pracy znajdujących się w niekorzystnej sytuacji na rynku pracy, realizowana w projektach Ochotniczych Hufców Pracy (OHP).</w:t>
      </w:r>
    </w:p>
    <w:p w:rsidR="00202C2D" w:rsidRDefault="004366E5">
      <w:pPr>
        <w:rPr>
          <w:b/>
          <w:sz w:val="28"/>
        </w:rPr>
      </w:pPr>
      <w:r>
        <w:rPr>
          <w:sz w:val="28"/>
        </w:rPr>
        <w:t>Najważniejsze warunki realizacji projektów:</w:t>
      </w:r>
    </w:p>
    <w:p w:rsidR="00202C2D" w:rsidRDefault="004366E5">
      <w:pPr>
        <w:rPr>
          <w:b/>
          <w:sz w:val="28"/>
        </w:rPr>
      </w:pPr>
      <w:r>
        <w:rPr>
          <w:sz w:val="28"/>
        </w:rPr>
        <w:t>Typy projektów 2 i 3 będą wdrażane przez Instytucję Pośredniczącą (IP), której rolę będzie pełnił Wojewódzki Urząd Pracy w Gdańsku (WUP).</w:t>
      </w:r>
    </w:p>
    <w:p w:rsidR="00202C2D" w:rsidRDefault="004366E5">
      <w:pPr>
        <w:rPr>
          <w:b/>
          <w:sz w:val="28"/>
        </w:rPr>
      </w:pPr>
      <w:r>
        <w:rPr>
          <w:sz w:val="28"/>
        </w:rPr>
        <w:t>Dopuszczalny poziom cross-</w:t>
      </w:r>
      <w:proofErr w:type="spellStart"/>
      <w:r>
        <w:rPr>
          <w:sz w:val="28"/>
        </w:rPr>
        <w:t>financingu</w:t>
      </w:r>
      <w:proofErr w:type="spellEnd"/>
      <w:r>
        <w:rPr>
          <w:sz w:val="28"/>
        </w:rPr>
        <w:t xml:space="preserve"> każdorazowo uzależniony będzie od decyzji Instytucji Zarządzającej (IZ) FEP i zostanie wskazany w regulaminie wyboru projektów.</w:t>
      </w:r>
    </w:p>
    <w:p w:rsidR="00202C2D" w:rsidRDefault="004366E5">
      <w:pPr>
        <w:rPr>
          <w:b/>
          <w:sz w:val="28"/>
        </w:rPr>
      </w:pPr>
      <w:r>
        <w:rPr>
          <w:sz w:val="28"/>
        </w:rPr>
        <w:t>Ukierunkowanie terytorialne:</w:t>
      </w:r>
    </w:p>
    <w:p w:rsidR="00202C2D" w:rsidRDefault="004366E5">
      <w:pPr>
        <w:rPr>
          <w:b/>
          <w:sz w:val="28"/>
        </w:rPr>
      </w:pPr>
      <w:r>
        <w:rPr>
          <w:sz w:val="28"/>
        </w:rPr>
        <w:t>Interwencja będzie prowadzona na terenie całego województwa.</w:t>
      </w:r>
    </w:p>
    <w:p w:rsidR="00202C2D" w:rsidRDefault="004366E5">
      <w:pPr>
        <w:rPr>
          <w:b/>
          <w:sz w:val="28"/>
        </w:rPr>
      </w:pPr>
      <w:r>
        <w:rPr>
          <w:sz w:val="28"/>
        </w:rPr>
        <w:t>Preferowane zgodnie z Programem będą projekty (wyłącznie w odniesieniu do typu projektu 1.):</w:t>
      </w:r>
    </w:p>
    <w:p w:rsidR="00202C2D" w:rsidRDefault="004366E5">
      <w:pPr>
        <w:rPr>
          <w:b/>
          <w:sz w:val="28"/>
        </w:rPr>
      </w:pPr>
      <w:r>
        <w:rPr>
          <w:sz w:val="28"/>
        </w:rPr>
        <w:t xml:space="preserve">1. obejmujące kompleksowe działania aktywizujące, dostosowane do indywidualnych potrzeb; </w:t>
      </w:r>
    </w:p>
    <w:p w:rsidR="00202C2D" w:rsidRDefault="004366E5">
      <w:pPr>
        <w:rPr>
          <w:b/>
          <w:sz w:val="28"/>
        </w:rPr>
      </w:pPr>
      <w:r>
        <w:rPr>
          <w:sz w:val="28"/>
        </w:rPr>
        <w:t>2. partnerskie, realizowane we współpracy instytucji rynku pracy z pracodawcami lub organizacjami pracodawców i/lub organizacjami pozarządowymi i/lub instytucjami edukacyjnymi (w tym szkołami wyższymi) i szkoleniowymi i/lub IOB;</w:t>
      </w:r>
    </w:p>
    <w:p w:rsidR="00202C2D" w:rsidRDefault="004366E5">
      <w:pPr>
        <w:rPr>
          <w:b/>
          <w:sz w:val="28"/>
        </w:rPr>
      </w:pPr>
      <w:r>
        <w:rPr>
          <w:sz w:val="28"/>
        </w:rPr>
        <w:t xml:space="preserve">3. realizowane przez organizacje pozarządowe działające w obszarze wsparcia osób doświadczających przemocy, w szczególności kobiet, osób LGBT+, rodziców samotnie wychowujących dzieci, osób długotrwale bezrobotnych; </w:t>
      </w:r>
    </w:p>
    <w:p w:rsidR="00202C2D" w:rsidRDefault="004366E5">
      <w:pPr>
        <w:rPr>
          <w:b/>
          <w:sz w:val="28"/>
        </w:rPr>
      </w:pPr>
      <w:r>
        <w:rPr>
          <w:sz w:val="28"/>
        </w:rPr>
        <w:lastRenderedPageBreak/>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100</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W przygotowaniu</w:t>
      </w:r>
    </w:p>
    <w:p w:rsidR="00202C2D" w:rsidRDefault="004366E5">
      <w:pPr>
        <w:rPr>
          <w:b/>
          <w:sz w:val="28"/>
        </w:rPr>
      </w:pPr>
      <w:r>
        <w:rPr>
          <w:b/>
          <w:sz w:val="28"/>
        </w:rPr>
        <w:t>Uproszczone metody rozliczania</w:t>
      </w:r>
    </w:p>
    <w:p w:rsidR="00202C2D" w:rsidRDefault="004366E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lastRenderedPageBreak/>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5</w:t>
      </w:r>
    </w:p>
    <w:p w:rsidR="00202C2D" w:rsidRDefault="004366E5">
      <w:pPr>
        <w:rPr>
          <w:b/>
          <w:sz w:val="28"/>
        </w:rPr>
      </w:pPr>
      <w:r>
        <w:rPr>
          <w:b/>
          <w:sz w:val="28"/>
        </w:rPr>
        <w:t>Minimalny wkład własny beneficjenta</w:t>
      </w:r>
    </w:p>
    <w:p w:rsidR="00202C2D" w:rsidRDefault="004366E5">
      <w:pPr>
        <w:rPr>
          <w:b/>
          <w:sz w:val="28"/>
        </w:rPr>
      </w:pPr>
      <w:r>
        <w:rPr>
          <w:sz w:val="28"/>
        </w:rPr>
        <w:t>0% w odniesieniu do typów projektów nr 3. 5% w odniesieniu do typów projektów nr 2. 10% w odniesieniu do typów projektów nr 1.</w:t>
      </w:r>
    </w:p>
    <w:p w:rsidR="00202C2D" w:rsidRDefault="004366E5">
      <w:pPr>
        <w:rPr>
          <w:b/>
          <w:sz w:val="28"/>
        </w:rPr>
      </w:pPr>
      <w:r>
        <w:rPr>
          <w:b/>
          <w:sz w:val="28"/>
        </w:rPr>
        <w:t>Sposób wyboru projektów</w:t>
      </w:r>
    </w:p>
    <w:p w:rsidR="00202C2D" w:rsidRDefault="004366E5">
      <w:pPr>
        <w:rPr>
          <w:b/>
          <w:sz w:val="28"/>
        </w:rPr>
      </w:pPr>
      <w:r>
        <w:rPr>
          <w:sz w:val="28"/>
        </w:rPr>
        <w:t>Konkurencyjny, Niekonkurencyjny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Instytucje wspierające biznes, Organizacje społeczne i związki wyznaniowe, Partnerzy społeczni, Przedsiębiorstwa, Służby publiczne</w:t>
      </w:r>
    </w:p>
    <w:p w:rsidR="00202C2D" w:rsidRDefault="004366E5">
      <w:pPr>
        <w:rPr>
          <w:b/>
          <w:sz w:val="28"/>
        </w:rPr>
      </w:pPr>
      <w:r>
        <w:rPr>
          <w:b/>
          <w:sz w:val="28"/>
        </w:rPr>
        <w:t>Typ beneficjenta – szczegółowy</w:t>
      </w:r>
    </w:p>
    <w:p w:rsidR="00202C2D" w:rsidRDefault="004366E5">
      <w:pPr>
        <w:rPr>
          <w:b/>
          <w:sz w:val="28"/>
        </w:rPr>
      </w:pPr>
      <w:r>
        <w:rPr>
          <w:sz w:val="28"/>
        </w:rPr>
        <w:t xml:space="preserve">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w:t>
      </w:r>
      <w:r>
        <w:rPr>
          <w:sz w:val="28"/>
        </w:rPr>
        <w:lastRenderedPageBreak/>
        <w:t>Partnerzy gospodarczy, Podmioty ekonomii społecznej, Pozarządowe organizacje turystyczne, Przedszkola i inne formy wychowania przedszkolnego, Szkoły i inne placówki systemu oświaty, Uczelnie, Wspólnoty, spółdzielnie mieszkaniowe i TBS, Związki zawodowe</w:t>
      </w:r>
    </w:p>
    <w:p w:rsidR="00202C2D" w:rsidRDefault="004366E5">
      <w:pPr>
        <w:rPr>
          <w:b/>
          <w:sz w:val="28"/>
        </w:rPr>
      </w:pPr>
      <w:r>
        <w:rPr>
          <w:b/>
          <w:sz w:val="28"/>
        </w:rPr>
        <w:t>Grupa docelowa</w:t>
      </w:r>
    </w:p>
    <w:p w:rsidR="00202C2D" w:rsidRDefault="004366E5">
      <w:pPr>
        <w:rPr>
          <w:b/>
          <w:sz w:val="28"/>
        </w:rPr>
      </w:pPr>
      <w:r>
        <w:rPr>
          <w:sz w:val="28"/>
        </w:rPr>
        <w:t xml:space="preserve">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w:t>
      </w:r>
      <w:proofErr w:type="spellStart"/>
      <w:r>
        <w:rPr>
          <w:sz w:val="28"/>
        </w:rPr>
        <w:t>cywilno</w:t>
      </w:r>
      <w:proofErr w:type="spellEnd"/>
      <w:r>
        <w:rPr>
          <w:sz w:val="28"/>
        </w:rPr>
        <w:t xml:space="preserve"> – prawnych, ubodzy pracujący</w:t>
      </w:r>
    </w:p>
    <w:p w:rsidR="00202C2D" w:rsidRDefault="004366E5">
      <w:pPr>
        <w:rPr>
          <w:b/>
          <w:sz w:val="28"/>
        </w:rPr>
      </w:pPr>
      <w:r>
        <w:rPr>
          <w:b/>
          <w:sz w:val="28"/>
        </w:rPr>
        <w:t>Słowa kluczowe</w:t>
      </w:r>
    </w:p>
    <w:p w:rsidR="00202C2D" w:rsidRDefault="004366E5">
      <w:pPr>
        <w:rPr>
          <w:b/>
          <w:sz w:val="28"/>
        </w:rPr>
      </w:pPr>
      <w:proofErr w:type="spellStart"/>
      <w:r>
        <w:rPr>
          <w:sz w:val="28"/>
        </w:rPr>
        <w:t>aktywizacja_kobiet</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kompetencje_zawodowe</w:t>
      </w:r>
      <w:proofErr w:type="spellEnd"/>
      <w:r>
        <w:rPr>
          <w:sz w:val="28"/>
        </w:rPr>
        <w:t xml:space="preserve">, kwalifikacje, </w:t>
      </w:r>
      <w:proofErr w:type="spellStart"/>
      <w:r>
        <w:rPr>
          <w:sz w:val="28"/>
        </w:rPr>
        <w:t>osoby_z_niepełnosprawnościami</w:t>
      </w:r>
      <w:proofErr w:type="spellEnd"/>
      <w:r>
        <w:rPr>
          <w:sz w:val="28"/>
        </w:rPr>
        <w:t xml:space="preserve">, </w:t>
      </w:r>
      <w:proofErr w:type="spellStart"/>
      <w:r>
        <w:rPr>
          <w:sz w:val="28"/>
        </w:rPr>
        <w:t>rozwój_zawodowy</w:t>
      </w:r>
      <w:proofErr w:type="spellEnd"/>
      <w:r>
        <w:rPr>
          <w:sz w:val="28"/>
        </w:rPr>
        <w:t xml:space="preserve">, staże, </w:t>
      </w:r>
      <w:proofErr w:type="spellStart"/>
      <w:r>
        <w:rPr>
          <w:sz w:val="28"/>
        </w:rPr>
        <w:t>wsparcie_dla_młodych</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202C2D" w:rsidRDefault="004366E5">
      <w:pPr>
        <w:rPr>
          <w:b/>
          <w:sz w:val="28"/>
        </w:rPr>
      </w:pPr>
      <w:r>
        <w:rPr>
          <w:b/>
          <w:sz w:val="28"/>
        </w:rPr>
        <w:t>Kryteria wyboru projektów</w:t>
      </w:r>
    </w:p>
    <w:p w:rsidR="00202C2D" w:rsidRDefault="004366E5">
      <w:pPr>
        <w:rPr>
          <w:b/>
          <w:sz w:val="28"/>
        </w:rPr>
      </w:pPr>
      <w:r>
        <w:rPr>
          <w:sz w:val="28"/>
        </w:rPr>
        <w:t>https://www.rpo.pomorskie.eu/kryteria-wyboru-projektow-zatwierdzone-przez-km</w:t>
      </w:r>
    </w:p>
    <w:p w:rsidR="00202C2D" w:rsidRDefault="004366E5">
      <w:pPr>
        <w:rPr>
          <w:b/>
          <w:sz w:val="28"/>
        </w:rPr>
      </w:pPr>
      <w:r>
        <w:rPr>
          <w:b/>
          <w:sz w:val="28"/>
        </w:rPr>
        <w:t>Wskaźniki produktu</w:t>
      </w:r>
    </w:p>
    <w:p w:rsidR="00202C2D" w:rsidRDefault="004366E5">
      <w:pPr>
        <w:rPr>
          <w:b/>
          <w:sz w:val="28"/>
        </w:rPr>
      </w:pPr>
      <w:r>
        <w:rPr>
          <w:sz w:val="28"/>
        </w:rPr>
        <w:t>WLWK-PL0CO02 - Liczba obiektów dostosowanych do potrzeb osób z niepełnosprawnościami</w:t>
      </w:r>
    </w:p>
    <w:p w:rsidR="00202C2D" w:rsidRDefault="004366E5">
      <w:pPr>
        <w:rPr>
          <w:b/>
          <w:sz w:val="28"/>
        </w:rPr>
      </w:pPr>
      <w:r>
        <w:rPr>
          <w:sz w:val="28"/>
        </w:rPr>
        <w:t>WLWK-EECO02 - Liczba osób bezrobotnych, w tym długotrwale bezrobotnych, objętych wsparciem w programie</w:t>
      </w:r>
    </w:p>
    <w:p w:rsidR="00202C2D" w:rsidRDefault="004366E5">
      <w:pPr>
        <w:rPr>
          <w:b/>
          <w:sz w:val="28"/>
        </w:rPr>
      </w:pPr>
      <w:r>
        <w:rPr>
          <w:sz w:val="28"/>
        </w:rPr>
        <w:lastRenderedPageBreak/>
        <w:t>WLWK-EECO04 - Liczba osób biernych zawodowo objętych wsparciem w programie</w:t>
      </w:r>
    </w:p>
    <w:p w:rsidR="00202C2D" w:rsidRDefault="004366E5">
      <w:pPr>
        <w:rPr>
          <w:b/>
          <w:sz w:val="28"/>
        </w:rPr>
      </w:pPr>
      <w:r>
        <w:rPr>
          <w:sz w:val="28"/>
        </w:rPr>
        <w:t>WLWK-EECO03 - Liczba osób długotrwale bezrobotnych objętych wsparciem w programie</w:t>
      </w:r>
    </w:p>
    <w:p w:rsidR="00202C2D" w:rsidRDefault="004366E5">
      <w:pPr>
        <w:rPr>
          <w:b/>
          <w:sz w:val="28"/>
        </w:rPr>
      </w:pPr>
      <w:r>
        <w:rPr>
          <w:sz w:val="28"/>
        </w:rPr>
        <w:t>WLWK-EECO15 - Liczba osób należących do mniejszości, w tym społeczności marginalizowanych takich jak Romowie, objętych wsparciem w programie</w:t>
      </w:r>
    </w:p>
    <w:p w:rsidR="00202C2D" w:rsidRDefault="004366E5">
      <w:pPr>
        <w:rPr>
          <w:b/>
          <w:sz w:val="28"/>
        </w:rPr>
      </w:pPr>
      <w:r>
        <w:rPr>
          <w:sz w:val="28"/>
        </w:rPr>
        <w:t>WLWK-EECO14 - Liczba osób obcego pochodzenia objętych wsparciem w programie</w:t>
      </w:r>
    </w:p>
    <w:p w:rsidR="00202C2D" w:rsidRDefault="004366E5">
      <w:pPr>
        <w:rPr>
          <w:b/>
          <w:sz w:val="28"/>
        </w:rPr>
      </w:pPr>
      <w:r>
        <w:rPr>
          <w:sz w:val="28"/>
        </w:rPr>
        <w:t>WLWK-EECO05 - Liczba osób pracujących, łącznie z prowadzącymi działalność na własny rachunek, objętych wsparciem w programie</w:t>
      </w:r>
    </w:p>
    <w:p w:rsidR="00202C2D" w:rsidRDefault="004366E5">
      <w:pPr>
        <w:rPr>
          <w:b/>
          <w:sz w:val="28"/>
        </w:rPr>
      </w:pPr>
      <w:r>
        <w:rPr>
          <w:sz w:val="28"/>
        </w:rPr>
        <w:t>WLWK-EECO16 - Liczba osób w kryzysie bezdomności lub dotkniętych wykluczeniem z dostępu do mieszkań, objętych wsparciem w programie</w:t>
      </w:r>
    </w:p>
    <w:p w:rsidR="00202C2D" w:rsidRDefault="004366E5">
      <w:pPr>
        <w:rPr>
          <w:b/>
          <w:sz w:val="28"/>
        </w:rPr>
      </w:pPr>
      <w:r>
        <w:rPr>
          <w:sz w:val="28"/>
        </w:rPr>
        <w:t>WLWK-EECO07 - Liczba osób w wieku 18-29 lat objętych wsparciem w programie</w:t>
      </w:r>
    </w:p>
    <w:p w:rsidR="00202C2D" w:rsidRDefault="004366E5">
      <w:pPr>
        <w:rPr>
          <w:b/>
          <w:sz w:val="28"/>
        </w:rPr>
      </w:pPr>
      <w:r>
        <w:rPr>
          <w:sz w:val="28"/>
        </w:rPr>
        <w:t>WLWK-EECO08 - Liczba osób w wieku 55 lat i więcej  objętych wsparciem w programie</w:t>
      </w:r>
    </w:p>
    <w:p w:rsidR="00202C2D" w:rsidRDefault="004366E5">
      <w:pPr>
        <w:rPr>
          <w:b/>
          <w:sz w:val="28"/>
        </w:rPr>
      </w:pPr>
      <w:r>
        <w:rPr>
          <w:sz w:val="28"/>
        </w:rPr>
        <w:t>WLWK-EECO06 - Liczba osób w wieku poniżej 18 lat objętych wsparciem w programie</w:t>
      </w:r>
    </w:p>
    <w:p w:rsidR="00202C2D" w:rsidRDefault="004366E5">
      <w:pPr>
        <w:rPr>
          <w:b/>
          <w:sz w:val="28"/>
        </w:rPr>
      </w:pPr>
      <w:r>
        <w:rPr>
          <w:sz w:val="28"/>
        </w:rPr>
        <w:t>WLWK-EECO13 - Liczba osób z krajów trzecich objętych wsparciem w programie</w:t>
      </w:r>
    </w:p>
    <w:p w:rsidR="00202C2D" w:rsidRDefault="004366E5">
      <w:pPr>
        <w:rPr>
          <w:b/>
          <w:sz w:val="28"/>
        </w:rPr>
      </w:pPr>
      <w:r>
        <w:rPr>
          <w:sz w:val="28"/>
        </w:rPr>
        <w:t>WLWK-EECO12 - Liczba osób z niepełnosprawnościami objętych wsparciem w programie</w:t>
      </w:r>
    </w:p>
    <w:p w:rsidR="00202C2D" w:rsidRDefault="004366E5">
      <w:pPr>
        <w:rPr>
          <w:b/>
          <w:sz w:val="28"/>
        </w:rPr>
      </w:pPr>
      <w:r>
        <w:rPr>
          <w:sz w:val="28"/>
        </w:rPr>
        <w:t>WLWK-PL0CO01 - Liczba projektów, w których sfinansowano koszty racjonalnych usprawnień dla osób z niepełnosprawnościami</w:t>
      </w:r>
    </w:p>
    <w:p w:rsidR="00202C2D" w:rsidRDefault="004366E5">
      <w:pPr>
        <w:rPr>
          <w:b/>
          <w:sz w:val="28"/>
        </w:rPr>
      </w:pPr>
      <w:r>
        <w:rPr>
          <w:sz w:val="28"/>
        </w:rPr>
        <w:t>WLWK-PL0CO10 - Wartość wydatków kwalifikowalnych przeznaczonych na realizację gwarancji dla młodzieży</w:t>
      </w:r>
    </w:p>
    <w:p w:rsidR="00202C2D" w:rsidRDefault="004366E5">
      <w:pPr>
        <w:rPr>
          <w:b/>
          <w:sz w:val="28"/>
        </w:rPr>
      </w:pPr>
      <w:r>
        <w:rPr>
          <w:b/>
          <w:sz w:val="28"/>
        </w:rPr>
        <w:t>Wskaźniki rezultatu</w:t>
      </w:r>
    </w:p>
    <w:p w:rsidR="00202C2D" w:rsidRDefault="004366E5">
      <w:pPr>
        <w:rPr>
          <w:b/>
          <w:sz w:val="28"/>
        </w:rPr>
      </w:pPr>
      <w:r>
        <w:rPr>
          <w:sz w:val="28"/>
        </w:rPr>
        <w:lastRenderedPageBreak/>
        <w:t>WLWK-EECR02 - Liczba osób, które podjęły kształcenie lub szkolenie po opuszczeniu programu</w:t>
      </w:r>
    </w:p>
    <w:p w:rsidR="00202C2D" w:rsidRDefault="004366E5">
      <w:pPr>
        <w:rPr>
          <w:b/>
          <w:sz w:val="28"/>
        </w:rPr>
      </w:pPr>
      <w:r>
        <w:rPr>
          <w:sz w:val="28"/>
        </w:rPr>
        <w:t>WLWK-EECR03 - Liczba osób, które uzyskały kwalifikacje po opuszczeniu programu</w:t>
      </w:r>
    </w:p>
    <w:p w:rsidR="00202C2D" w:rsidRDefault="004366E5">
      <w:pPr>
        <w:rPr>
          <w:b/>
          <w:sz w:val="28"/>
        </w:rPr>
      </w:pPr>
      <w:r>
        <w:rPr>
          <w:sz w:val="28"/>
        </w:rPr>
        <w:t>WLWK-EECR04 - Liczba osób pracujących, łącznie z prowadzącymi działalność na własny rachunek, po opuszczeniu programu</w:t>
      </w:r>
    </w:p>
    <w:p w:rsidR="00202C2D" w:rsidRDefault="00202C2D">
      <w:pPr>
        <w:rPr>
          <w:b/>
          <w:sz w:val="28"/>
        </w:rPr>
      </w:pPr>
    </w:p>
    <w:p w:rsidR="00202C2D" w:rsidRDefault="004366E5">
      <w:pPr>
        <w:pStyle w:val="Nagwek3"/>
        <w:rPr>
          <w:rFonts w:ascii="Calibri" w:hAnsi="Calibri" w:cs="Calibri"/>
          <w:sz w:val="32"/>
        </w:rPr>
      </w:pPr>
      <w:bookmarkStart w:id="15" w:name="_Toc132714000"/>
      <w:r>
        <w:rPr>
          <w:rFonts w:ascii="Calibri" w:hAnsi="Calibri" w:cs="Calibri"/>
          <w:sz w:val="32"/>
        </w:rPr>
        <w:t>Działanie FEPM.05.02 Rynek pracy – projekty powiatowych urzędów pracy</w:t>
      </w:r>
      <w:bookmarkEnd w:id="15"/>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202C2D" w:rsidRDefault="004366E5">
      <w:pPr>
        <w:rPr>
          <w:b/>
          <w:sz w:val="28"/>
        </w:rPr>
      </w:pPr>
      <w:r>
        <w:rPr>
          <w:b/>
          <w:sz w:val="28"/>
        </w:rPr>
        <w:t>Wysokość alokacji UE (EUR)</w:t>
      </w:r>
    </w:p>
    <w:p w:rsidR="00202C2D" w:rsidRDefault="004366E5">
      <w:pPr>
        <w:rPr>
          <w:b/>
          <w:sz w:val="28"/>
        </w:rPr>
      </w:pPr>
      <w:r>
        <w:rPr>
          <w:sz w:val="28"/>
        </w:rPr>
        <w:t>60 481 438,00</w:t>
      </w:r>
    </w:p>
    <w:p w:rsidR="00202C2D" w:rsidRDefault="004366E5">
      <w:pPr>
        <w:rPr>
          <w:b/>
          <w:sz w:val="28"/>
        </w:rPr>
      </w:pPr>
      <w:r>
        <w:rPr>
          <w:b/>
          <w:sz w:val="28"/>
        </w:rPr>
        <w:t>Zakres interwencji</w:t>
      </w:r>
    </w:p>
    <w:p w:rsidR="00202C2D" w:rsidRDefault="004366E5">
      <w:pPr>
        <w:rPr>
          <w:b/>
          <w:sz w:val="28"/>
        </w:rPr>
      </w:pPr>
      <w:r>
        <w:rPr>
          <w:sz w:val="28"/>
        </w:rPr>
        <w:t>134 - Działania na rzecz poprawy dostępu do zatrudnienia, 136 - Wsparcie szczególne na rzecz zatrudnienia ludzi młodych i integracji społeczno-gospodarczej ludzi młodych</w:t>
      </w:r>
    </w:p>
    <w:p w:rsidR="00202C2D" w:rsidRDefault="004366E5">
      <w:pPr>
        <w:rPr>
          <w:b/>
          <w:sz w:val="28"/>
        </w:rPr>
      </w:pPr>
      <w:r>
        <w:rPr>
          <w:b/>
          <w:sz w:val="28"/>
        </w:rPr>
        <w:t>Opis działania</w:t>
      </w:r>
    </w:p>
    <w:p w:rsidR="00202C2D" w:rsidRDefault="004366E5">
      <w:pPr>
        <w:rPr>
          <w:b/>
          <w:sz w:val="28"/>
        </w:rPr>
      </w:pPr>
      <w:r>
        <w:rPr>
          <w:sz w:val="28"/>
        </w:rPr>
        <w:t xml:space="preserve">Interwencja w ramach Działania odpowiada na wyzwanie, jakim jest poprawa dostępu do zatrudnienia i działań aktywizujących oraz poprawa warunków rozwoju zawodowego poszukujących pracy mieszkańców Pomorza, w tym osób ze </w:t>
      </w:r>
      <w:r>
        <w:rPr>
          <w:sz w:val="28"/>
        </w:rPr>
        <w:lastRenderedPageBreak/>
        <w:t>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p>
    <w:p w:rsidR="00202C2D" w:rsidRDefault="004366E5">
      <w:pPr>
        <w:rPr>
          <w:b/>
          <w:sz w:val="28"/>
        </w:rPr>
      </w:pPr>
      <w:r>
        <w:rPr>
          <w:sz w:val="28"/>
        </w:rPr>
        <w:t>Typy projektów:</w:t>
      </w:r>
    </w:p>
    <w:p w:rsidR="00202C2D" w:rsidRDefault="004366E5">
      <w:pPr>
        <w:rPr>
          <w:b/>
          <w:sz w:val="28"/>
        </w:rPr>
      </w:pPr>
      <w:r>
        <w:rPr>
          <w:sz w:val="28"/>
        </w:rP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p>
    <w:p w:rsidR="00202C2D" w:rsidRDefault="004366E5">
      <w:pPr>
        <w:rPr>
          <w:b/>
          <w:sz w:val="28"/>
        </w:rPr>
      </w:pPr>
      <w:r>
        <w:rPr>
          <w:sz w:val="28"/>
        </w:rPr>
        <w:t>Działanie będzie wdrażane przez Instytucję Pośredniczącą (IP), której rolę będzie pełnił Wojewódzki Urząd Pracy w Gdańsku (WUP).</w:t>
      </w:r>
    </w:p>
    <w:p w:rsidR="00202C2D" w:rsidRDefault="004366E5">
      <w:pPr>
        <w:rPr>
          <w:b/>
          <w:sz w:val="28"/>
        </w:rPr>
      </w:pPr>
      <w:r>
        <w:rPr>
          <w:sz w:val="28"/>
        </w:rPr>
        <w:t>Najważniejsze warunki realizacji projektów:</w:t>
      </w:r>
    </w:p>
    <w:p w:rsidR="00202C2D" w:rsidRDefault="004366E5">
      <w:pPr>
        <w:rPr>
          <w:b/>
          <w:sz w:val="28"/>
        </w:rPr>
      </w:pPr>
      <w:r>
        <w:rPr>
          <w:sz w:val="28"/>
        </w:rPr>
        <w:t>Wsparcie w zakresie subsydiowanego zatrudnienia skierowane będzie wyłącznie do osób z utrudnionym dostępem do rynku pracy.</w:t>
      </w:r>
    </w:p>
    <w:p w:rsidR="00202C2D" w:rsidRDefault="004366E5">
      <w:pPr>
        <w:rPr>
          <w:b/>
          <w:sz w:val="28"/>
        </w:rPr>
      </w:pPr>
      <w:r>
        <w:rPr>
          <w:sz w:val="28"/>
        </w:rPr>
        <w:t>Ukierunkowanie terytorialne:</w:t>
      </w:r>
    </w:p>
    <w:p w:rsidR="00202C2D" w:rsidRDefault="004366E5">
      <w:pPr>
        <w:rPr>
          <w:b/>
          <w:sz w:val="28"/>
        </w:rPr>
      </w:pPr>
      <w:r>
        <w:rPr>
          <w:sz w:val="28"/>
        </w:rPr>
        <w:t>Interwencja będzie prowadzona na terenie całego województwa.</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lastRenderedPageBreak/>
        <w:t>100</w:t>
      </w:r>
    </w:p>
    <w:p w:rsidR="00202C2D" w:rsidRDefault="004366E5">
      <w:pPr>
        <w:rPr>
          <w:b/>
          <w:sz w:val="28"/>
        </w:rPr>
      </w:pPr>
      <w:r>
        <w:rPr>
          <w:b/>
          <w:sz w:val="28"/>
        </w:rPr>
        <w:t>Pomoc publiczna – unijna podstawa prawna</w:t>
      </w:r>
    </w:p>
    <w:p w:rsidR="00202C2D" w:rsidRDefault="004366E5">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202C2D" w:rsidRDefault="004366E5">
      <w:pPr>
        <w:rPr>
          <w:b/>
          <w:sz w:val="28"/>
        </w:rPr>
      </w:pPr>
      <w:r>
        <w:rPr>
          <w:b/>
          <w:sz w:val="28"/>
        </w:rPr>
        <w:t>Uproszczone metody rozliczania</w:t>
      </w:r>
    </w:p>
    <w:p w:rsidR="00202C2D" w:rsidRDefault="004366E5">
      <w:pPr>
        <w:rPr>
          <w:b/>
          <w:sz w:val="28"/>
        </w:rPr>
      </w:pPr>
      <w:r>
        <w:rPr>
          <w:sz w:val="28"/>
        </w:rPr>
        <w:t>Brak</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Niekonkurencyjny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lastRenderedPageBreak/>
        <w:t>Typ beneficjenta – ogólny</w:t>
      </w:r>
    </w:p>
    <w:p w:rsidR="00202C2D" w:rsidRDefault="004366E5">
      <w:pPr>
        <w:rPr>
          <w:b/>
          <w:sz w:val="28"/>
        </w:rPr>
      </w:pPr>
      <w:r>
        <w:rPr>
          <w:sz w:val="28"/>
        </w:rPr>
        <w:t>Służby publiczne</w:t>
      </w:r>
    </w:p>
    <w:p w:rsidR="00202C2D" w:rsidRDefault="004366E5">
      <w:pPr>
        <w:rPr>
          <w:b/>
          <w:sz w:val="28"/>
        </w:rPr>
      </w:pPr>
      <w:r>
        <w:rPr>
          <w:b/>
          <w:sz w:val="28"/>
        </w:rPr>
        <w:t>Typ beneficjenta – szczegółowy</w:t>
      </w:r>
    </w:p>
    <w:p w:rsidR="00202C2D" w:rsidRDefault="004366E5">
      <w:pPr>
        <w:rPr>
          <w:b/>
          <w:sz w:val="28"/>
        </w:rPr>
      </w:pPr>
      <w:r>
        <w:rPr>
          <w:sz w:val="28"/>
        </w:rPr>
        <w:t>Instytucje rynku pracy</w:t>
      </w:r>
    </w:p>
    <w:p w:rsidR="00202C2D" w:rsidRDefault="004366E5">
      <w:pPr>
        <w:rPr>
          <w:b/>
          <w:sz w:val="28"/>
        </w:rPr>
      </w:pPr>
      <w:r>
        <w:rPr>
          <w:b/>
          <w:sz w:val="28"/>
        </w:rPr>
        <w:t>Grupa docelowa</w:t>
      </w:r>
    </w:p>
    <w:p w:rsidR="00202C2D" w:rsidRDefault="004366E5">
      <w:pPr>
        <w:rPr>
          <w:b/>
          <w:sz w:val="28"/>
        </w:rPr>
      </w:pPr>
      <w:r>
        <w:rPr>
          <w:sz w:val="28"/>
        </w:rP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202C2D" w:rsidRDefault="004366E5">
      <w:pPr>
        <w:rPr>
          <w:b/>
          <w:sz w:val="28"/>
        </w:rPr>
      </w:pPr>
      <w:r>
        <w:rPr>
          <w:b/>
          <w:sz w:val="28"/>
        </w:rPr>
        <w:t>Słowa kluczowe</w:t>
      </w:r>
    </w:p>
    <w:p w:rsidR="00202C2D" w:rsidRDefault="004366E5">
      <w:pPr>
        <w:rPr>
          <w:b/>
          <w:sz w:val="28"/>
        </w:rPr>
      </w:pPr>
      <w:proofErr w:type="spellStart"/>
      <w:r>
        <w:rPr>
          <w:sz w:val="28"/>
        </w:rPr>
        <w:t>aktywizacja_zawodowa</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instytucje_rynku_pracy</w:t>
      </w:r>
      <w:proofErr w:type="spellEnd"/>
      <w:r>
        <w:rPr>
          <w:sz w:val="28"/>
        </w:rPr>
        <w:t xml:space="preserve">, kompetencje, kwalifikacje, </w:t>
      </w:r>
      <w:proofErr w:type="spellStart"/>
      <w:r>
        <w:rPr>
          <w:sz w:val="28"/>
        </w:rPr>
        <w:t>rozwój_zawodowy</w:t>
      </w:r>
      <w:proofErr w:type="spellEnd"/>
      <w:r>
        <w:rPr>
          <w:sz w:val="28"/>
        </w:rPr>
        <w:t xml:space="preserve">, szkolenia, </w:t>
      </w:r>
      <w:proofErr w:type="spellStart"/>
      <w:r>
        <w:rPr>
          <w:sz w:val="28"/>
        </w:rPr>
        <w:t>zakładanie_firmy</w:t>
      </w:r>
      <w:proofErr w:type="spellEnd"/>
    </w:p>
    <w:p w:rsidR="00202C2D" w:rsidRDefault="004366E5">
      <w:pPr>
        <w:rPr>
          <w:b/>
          <w:sz w:val="28"/>
        </w:rPr>
      </w:pPr>
      <w:r>
        <w:rPr>
          <w:b/>
          <w:sz w:val="28"/>
        </w:rPr>
        <w:t>Kryteria wyboru projektów</w:t>
      </w:r>
    </w:p>
    <w:p w:rsidR="00202C2D" w:rsidRDefault="004366E5">
      <w:pPr>
        <w:rPr>
          <w:b/>
          <w:sz w:val="28"/>
        </w:rPr>
      </w:pPr>
      <w:r>
        <w:rPr>
          <w:sz w:val="28"/>
        </w:rPr>
        <w:t>https://www.rpo.pomorskie.eu/kryteria-wyboru-projektow-zatwierdzone-przez-km</w:t>
      </w:r>
    </w:p>
    <w:p w:rsidR="00202C2D" w:rsidRDefault="004366E5">
      <w:pPr>
        <w:rPr>
          <w:b/>
          <w:sz w:val="28"/>
        </w:rPr>
      </w:pPr>
      <w:r>
        <w:rPr>
          <w:b/>
          <w:sz w:val="28"/>
        </w:rPr>
        <w:t>Wskaźniki produktu</w:t>
      </w:r>
    </w:p>
    <w:p w:rsidR="00202C2D" w:rsidRDefault="004366E5">
      <w:pPr>
        <w:rPr>
          <w:b/>
          <w:sz w:val="28"/>
        </w:rPr>
      </w:pPr>
      <w:r>
        <w:rPr>
          <w:sz w:val="28"/>
        </w:rPr>
        <w:t>WLWK-PL0CO02 - Liczba obiektów dostosowanych do potrzeb osób z niepełnosprawnościami</w:t>
      </w:r>
    </w:p>
    <w:p w:rsidR="00202C2D" w:rsidRDefault="004366E5">
      <w:pPr>
        <w:rPr>
          <w:b/>
          <w:sz w:val="28"/>
        </w:rPr>
      </w:pPr>
      <w:r>
        <w:rPr>
          <w:sz w:val="28"/>
        </w:rPr>
        <w:t>WLWK-EECO02 - Liczba osób bezrobotnych, w tym długotrwale bezrobotnych, objętych wsparciem w programie</w:t>
      </w:r>
    </w:p>
    <w:p w:rsidR="00202C2D" w:rsidRDefault="004366E5">
      <w:pPr>
        <w:rPr>
          <w:b/>
          <w:sz w:val="28"/>
        </w:rPr>
      </w:pPr>
      <w:r>
        <w:rPr>
          <w:sz w:val="28"/>
        </w:rPr>
        <w:t>WLWK-EECO03 - Liczba osób długotrwale bezrobotnych objętych wsparciem w programie</w:t>
      </w:r>
    </w:p>
    <w:p w:rsidR="00202C2D" w:rsidRDefault="004366E5">
      <w:pPr>
        <w:rPr>
          <w:b/>
          <w:sz w:val="28"/>
        </w:rPr>
      </w:pPr>
      <w:r>
        <w:rPr>
          <w:sz w:val="28"/>
        </w:rPr>
        <w:t>WLWK-PLACO01 - Liczba osób, które otrzymały bezzwrotne środki na podjęcie działalności gospodarczej w programie</w:t>
      </w:r>
    </w:p>
    <w:p w:rsidR="00202C2D" w:rsidRDefault="004366E5">
      <w:pPr>
        <w:rPr>
          <w:b/>
          <w:sz w:val="28"/>
        </w:rPr>
      </w:pPr>
      <w:r>
        <w:rPr>
          <w:sz w:val="28"/>
        </w:rPr>
        <w:lastRenderedPageBreak/>
        <w:t>WLWK-EECO15 - Liczba osób należących do mniejszości, w tym społeczności marginalizowanych takich jak Romowie, objętych wsparciem w programie</w:t>
      </w:r>
    </w:p>
    <w:p w:rsidR="00202C2D" w:rsidRDefault="004366E5">
      <w:pPr>
        <w:rPr>
          <w:b/>
          <w:sz w:val="28"/>
        </w:rPr>
      </w:pPr>
      <w:r>
        <w:rPr>
          <w:sz w:val="28"/>
        </w:rPr>
        <w:t>WLWK-EECO14 - Liczba osób obcego pochodzenia objętych wsparciem w programie</w:t>
      </w:r>
    </w:p>
    <w:p w:rsidR="00202C2D" w:rsidRDefault="004366E5">
      <w:pPr>
        <w:rPr>
          <w:b/>
          <w:sz w:val="28"/>
        </w:rPr>
      </w:pPr>
      <w:r>
        <w:rPr>
          <w:sz w:val="28"/>
        </w:rPr>
        <w:t>WLWK-EECO16 - Liczba osób w kryzysie bezdomności lub dotkniętych wykluczeniem z dostępu do mieszkań, objętych wsparciem w programie</w:t>
      </w:r>
    </w:p>
    <w:p w:rsidR="00202C2D" w:rsidRDefault="004366E5">
      <w:pPr>
        <w:rPr>
          <w:b/>
          <w:sz w:val="28"/>
        </w:rPr>
      </w:pPr>
      <w:r>
        <w:rPr>
          <w:sz w:val="28"/>
        </w:rPr>
        <w:t>WLWK-EECO07 - Liczba osób w wieku 18-29 lat objętych wsparciem w programie</w:t>
      </w:r>
    </w:p>
    <w:p w:rsidR="00202C2D" w:rsidRDefault="004366E5">
      <w:pPr>
        <w:rPr>
          <w:b/>
          <w:sz w:val="28"/>
        </w:rPr>
      </w:pPr>
      <w:r>
        <w:rPr>
          <w:sz w:val="28"/>
        </w:rPr>
        <w:t>WLWK-EECO08 - Liczba osób w wieku 55 lat i więcej  objętych wsparciem w programie</w:t>
      </w:r>
    </w:p>
    <w:p w:rsidR="00202C2D" w:rsidRDefault="004366E5">
      <w:pPr>
        <w:rPr>
          <w:b/>
          <w:sz w:val="28"/>
        </w:rPr>
      </w:pPr>
      <w:r>
        <w:rPr>
          <w:sz w:val="28"/>
        </w:rPr>
        <w:t>WLWK-EECO13 - Liczba osób z krajów trzecich objętych wsparciem w programie</w:t>
      </w:r>
    </w:p>
    <w:p w:rsidR="00202C2D" w:rsidRDefault="004366E5">
      <w:pPr>
        <w:rPr>
          <w:b/>
          <w:sz w:val="28"/>
        </w:rPr>
      </w:pPr>
      <w:r>
        <w:rPr>
          <w:sz w:val="28"/>
        </w:rPr>
        <w:t>WLWK-EECO12 - Liczba osób z niepełnosprawnościami objętych wsparciem w programie</w:t>
      </w:r>
    </w:p>
    <w:p w:rsidR="00202C2D" w:rsidRDefault="004366E5">
      <w:pPr>
        <w:rPr>
          <w:b/>
          <w:sz w:val="28"/>
        </w:rPr>
      </w:pPr>
      <w:r>
        <w:rPr>
          <w:sz w:val="28"/>
        </w:rPr>
        <w:t>WLWK-PL0CO01 - Liczba projektów, w których sfinansowano koszty racjonalnych usprawnień dla osób z niepełnosprawnościami</w:t>
      </w:r>
    </w:p>
    <w:p w:rsidR="00202C2D" w:rsidRDefault="004366E5">
      <w:pPr>
        <w:rPr>
          <w:b/>
          <w:sz w:val="28"/>
        </w:rPr>
      </w:pPr>
      <w:r>
        <w:rPr>
          <w:sz w:val="28"/>
        </w:rPr>
        <w:t>WLWK-PL0CO10 - Wartość wydatków kwalifikowalnych przeznaczonych na realizację gwarancji dla młodzieży</w:t>
      </w:r>
    </w:p>
    <w:p w:rsidR="00202C2D" w:rsidRDefault="004366E5">
      <w:pPr>
        <w:rPr>
          <w:b/>
          <w:sz w:val="28"/>
        </w:rPr>
      </w:pPr>
      <w:r>
        <w:rPr>
          <w:b/>
          <w:sz w:val="28"/>
        </w:rPr>
        <w:t>Wskaźniki rezultatu</w:t>
      </w:r>
    </w:p>
    <w:p w:rsidR="00202C2D" w:rsidRDefault="004366E5">
      <w:pPr>
        <w:rPr>
          <w:b/>
          <w:sz w:val="28"/>
        </w:rPr>
      </w:pPr>
      <w:r>
        <w:rPr>
          <w:sz w:val="28"/>
        </w:rPr>
        <w:t>WLWK-EECR02 - Liczba osób, które podjęły kształcenie lub szkolenie po opuszczeniu programu</w:t>
      </w:r>
    </w:p>
    <w:p w:rsidR="00202C2D" w:rsidRDefault="004366E5">
      <w:pPr>
        <w:rPr>
          <w:b/>
          <w:sz w:val="28"/>
        </w:rPr>
      </w:pPr>
      <w:r>
        <w:rPr>
          <w:sz w:val="28"/>
        </w:rPr>
        <w:t>WLWK-EECR03 - Liczba osób, które uzyskały kwalifikacje po opuszczeniu programu</w:t>
      </w:r>
    </w:p>
    <w:p w:rsidR="00202C2D" w:rsidRDefault="004366E5">
      <w:pPr>
        <w:rPr>
          <w:b/>
          <w:sz w:val="28"/>
        </w:rPr>
      </w:pPr>
      <w:r>
        <w:rPr>
          <w:sz w:val="28"/>
        </w:rPr>
        <w:t>WLWK-EECR04 - Liczba osób pracujących, łącznie z prowadzącymi działalność na własny rachunek, po opuszczeniu programu</w:t>
      </w:r>
    </w:p>
    <w:p w:rsidR="00202C2D" w:rsidRDefault="00202C2D">
      <w:pPr>
        <w:rPr>
          <w:b/>
          <w:sz w:val="28"/>
        </w:rPr>
      </w:pPr>
    </w:p>
    <w:p w:rsidR="00202C2D" w:rsidRDefault="004366E5">
      <w:pPr>
        <w:pStyle w:val="Nagwek3"/>
        <w:rPr>
          <w:rFonts w:ascii="Calibri" w:hAnsi="Calibri" w:cs="Calibri"/>
          <w:sz w:val="32"/>
        </w:rPr>
      </w:pPr>
      <w:bookmarkStart w:id="16" w:name="_Toc132714001"/>
      <w:r>
        <w:rPr>
          <w:rFonts w:ascii="Calibri" w:hAnsi="Calibri" w:cs="Calibri"/>
          <w:sz w:val="32"/>
        </w:rPr>
        <w:t>Działanie FEPM.05.07 Edukacja przedszkolna</w:t>
      </w:r>
      <w:bookmarkEnd w:id="16"/>
    </w:p>
    <w:p w:rsidR="00202C2D" w:rsidRDefault="00202C2D">
      <w:pPr>
        <w:rPr>
          <w:rFonts w:ascii="Calibri" w:hAnsi="Calibri"/>
          <w:sz w:val="32"/>
        </w:rPr>
      </w:pPr>
    </w:p>
    <w:p w:rsidR="00202C2D" w:rsidRDefault="004366E5">
      <w:pPr>
        <w:rPr>
          <w:b/>
          <w:sz w:val="28"/>
        </w:rPr>
      </w:pPr>
      <w:r>
        <w:rPr>
          <w:b/>
          <w:sz w:val="28"/>
        </w:rPr>
        <w:lastRenderedPageBreak/>
        <w:t>Cel szczegółowy</w:t>
      </w:r>
    </w:p>
    <w:p w:rsidR="00202C2D" w:rsidRDefault="004366E5">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202C2D" w:rsidRDefault="004366E5">
      <w:pPr>
        <w:rPr>
          <w:b/>
          <w:sz w:val="28"/>
        </w:rPr>
      </w:pPr>
      <w:r>
        <w:rPr>
          <w:b/>
          <w:sz w:val="28"/>
        </w:rPr>
        <w:t>Wysokość alokacji UE (EUR)</w:t>
      </w:r>
    </w:p>
    <w:p w:rsidR="00202C2D" w:rsidRDefault="004366E5">
      <w:pPr>
        <w:rPr>
          <w:b/>
          <w:sz w:val="28"/>
        </w:rPr>
      </w:pPr>
      <w:r>
        <w:rPr>
          <w:sz w:val="28"/>
        </w:rPr>
        <w:t>43 664 106,00</w:t>
      </w:r>
    </w:p>
    <w:p w:rsidR="00202C2D" w:rsidRDefault="004366E5">
      <w:pPr>
        <w:rPr>
          <w:b/>
          <w:sz w:val="28"/>
        </w:rPr>
      </w:pPr>
      <w:r>
        <w:rPr>
          <w:b/>
          <w:sz w:val="28"/>
        </w:rPr>
        <w:t>Zakres interwencji</w:t>
      </w:r>
    </w:p>
    <w:p w:rsidR="00202C2D" w:rsidRDefault="004366E5">
      <w:pPr>
        <w:rPr>
          <w:b/>
          <w:sz w:val="28"/>
        </w:rPr>
      </w:pPr>
      <w:r>
        <w:rPr>
          <w:sz w:val="28"/>
        </w:rPr>
        <w:t>148 - Wsparcie na rzecz wczesnej edukacji i opieki nad dzieckiem (z wyłączeniem infrastruktury)</w:t>
      </w:r>
    </w:p>
    <w:p w:rsidR="00202C2D" w:rsidRDefault="004366E5">
      <w:pPr>
        <w:rPr>
          <w:b/>
          <w:sz w:val="28"/>
        </w:rPr>
      </w:pPr>
      <w:r>
        <w:rPr>
          <w:b/>
          <w:sz w:val="28"/>
        </w:rPr>
        <w:t>Opis działania</w:t>
      </w:r>
    </w:p>
    <w:p w:rsidR="00202C2D" w:rsidRDefault="004366E5">
      <w:pPr>
        <w:rPr>
          <w:b/>
          <w:sz w:val="28"/>
        </w:rPr>
      </w:pPr>
      <w:r>
        <w:rPr>
          <w:sz w:val="28"/>
        </w:rP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p>
    <w:p w:rsidR="00202C2D" w:rsidRDefault="004366E5">
      <w:pPr>
        <w:rPr>
          <w:b/>
          <w:sz w:val="28"/>
        </w:rPr>
      </w:pPr>
      <w:r>
        <w:rPr>
          <w:sz w:val="28"/>
        </w:rP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p>
    <w:p w:rsidR="00202C2D" w:rsidRDefault="004366E5">
      <w:pPr>
        <w:rPr>
          <w:b/>
          <w:sz w:val="28"/>
        </w:rPr>
      </w:pPr>
      <w:r>
        <w:rPr>
          <w:sz w:val="28"/>
        </w:rPr>
        <w:t xml:space="preserve">W ramach interwencji przewiduje się m.in. realizację przedsięwzięć zintegrowanych realizowanych przez placówki publiczne – ww. działania będą </w:t>
      </w:r>
      <w:r>
        <w:rPr>
          <w:sz w:val="28"/>
        </w:rPr>
        <w:lastRenderedPageBreak/>
        <w:t>bezpośrednio powiązane i będą mieć nadrzędny charakter w stosunku do interwencji prowadzonej w ramach Działania 6.1. Infrastruktura edukacji przedszkolnej.</w:t>
      </w:r>
    </w:p>
    <w:p w:rsidR="00202C2D" w:rsidRDefault="004366E5">
      <w:pPr>
        <w:rPr>
          <w:b/>
          <w:sz w:val="28"/>
        </w:rPr>
      </w:pPr>
      <w:r>
        <w:rPr>
          <w:sz w:val="28"/>
        </w:rPr>
        <w:t>Typy projektów:</w:t>
      </w:r>
    </w:p>
    <w:p w:rsidR="00202C2D" w:rsidRDefault="004366E5">
      <w:pPr>
        <w:rPr>
          <w:b/>
          <w:sz w:val="28"/>
        </w:rPr>
      </w:pPr>
      <w:r>
        <w:rPr>
          <w:sz w:val="28"/>
        </w:rPr>
        <w:t>1. Zajęcia wspierające rozwój kompetencji kluczowych dzieci (w tym dzieci z doświadczeniem migracji), jak np. zajęcia prowadzone przez specjalistów (psychologia, logopedia, diagnozowanie, integracja sensoryczna itp.).</w:t>
      </w:r>
    </w:p>
    <w:p w:rsidR="00202C2D" w:rsidRDefault="004366E5">
      <w:pPr>
        <w:rPr>
          <w:b/>
          <w:sz w:val="28"/>
        </w:rPr>
      </w:pPr>
      <w:r>
        <w:rPr>
          <w:sz w:val="28"/>
        </w:rP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rsidR="00202C2D" w:rsidRDefault="004366E5">
      <w:pPr>
        <w:rPr>
          <w:b/>
          <w:sz w:val="28"/>
        </w:rPr>
      </w:pPr>
      <w:r>
        <w:rPr>
          <w:sz w:val="28"/>
        </w:rPr>
        <w:t>3. Wspieranie tworzenia nowych miejsc wychowania przedszkolnego.</w:t>
      </w:r>
    </w:p>
    <w:p w:rsidR="00202C2D" w:rsidRDefault="004366E5">
      <w:pPr>
        <w:rPr>
          <w:b/>
          <w:sz w:val="28"/>
        </w:rPr>
      </w:pPr>
      <w:r>
        <w:rPr>
          <w:sz w:val="28"/>
        </w:rPr>
        <w:t>Uzupełniająco realizowane będą również:</w:t>
      </w:r>
    </w:p>
    <w:p w:rsidR="00202C2D" w:rsidRDefault="004366E5">
      <w:pPr>
        <w:rPr>
          <w:b/>
          <w:sz w:val="28"/>
        </w:rPr>
      </w:pPr>
      <w:r>
        <w:rPr>
          <w:sz w:val="28"/>
        </w:rPr>
        <w:t>4. Działania ukierunkowane na wprowadzanie rozwiązań organizacyjnych i metodycznych wpływających na efektywność kształtowania kompetencji kluczowych.</w:t>
      </w:r>
    </w:p>
    <w:p w:rsidR="00202C2D" w:rsidRDefault="004366E5">
      <w:pPr>
        <w:rPr>
          <w:b/>
          <w:sz w:val="28"/>
        </w:rPr>
      </w:pPr>
      <w:r>
        <w:rPr>
          <w:sz w:val="28"/>
        </w:rPr>
        <w:t>5. Budowanie tożsamości regionalnej.</w:t>
      </w:r>
    </w:p>
    <w:p w:rsidR="00202C2D" w:rsidRDefault="004366E5">
      <w:pPr>
        <w:rPr>
          <w:b/>
          <w:sz w:val="28"/>
        </w:rPr>
      </w:pPr>
      <w:r>
        <w:rPr>
          <w:sz w:val="28"/>
        </w:rPr>
        <w:t>6. Podnoszenie kompetencji w zakresie świadomości i ekspresji kulturalnej.</w:t>
      </w:r>
    </w:p>
    <w:p w:rsidR="00202C2D" w:rsidRDefault="004366E5">
      <w:pPr>
        <w:rPr>
          <w:b/>
          <w:sz w:val="28"/>
        </w:rPr>
      </w:pPr>
      <w:r>
        <w:rPr>
          <w:sz w:val="28"/>
        </w:rPr>
        <w:t>Najważniejsze warunki realizacji projektów:</w:t>
      </w:r>
    </w:p>
    <w:p w:rsidR="00202C2D" w:rsidRDefault="004366E5">
      <w:pPr>
        <w:rPr>
          <w:b/>
          <w:sz w:val="28"/>
        </w:rPr>
      </w:pPr>
      <w:r>
        <w:rPr>
          <w:sz w:val="28"/>
        </w:rPr>
        <w:t>1. Realizowane są wyłącznie projekty zawierające diagnozę edukacji przedszkolnej, ze szczególnym uwzględnieniem analizy bieżących i prognozowanych potrzeb w zakresie dostępności miejsc edukacji przedszkolnej.</w:t>
      </w:r>
    </w:p>
    <w:p w:rsidR="00202C2D" w:rsidRDefault="004366E5">
      <w:pPr>
        <w:rPr>
          <w:b/>
          <w:sz w:val="28"/>
        </w:rPr>
      </w:pPr>
      <w:r>
        <w:rPr>
          <w:sz w:val="28"/>
        </w:rPr>
        <w:t xml:space="preserve">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oraz o najniższym wskaźniku </w:t>
      </w:r>
      <w:r>
        <w:rPr>
          <w:sz w:val="28"/>
        </w:rPr>
        <w:lastRenderedPageBreak/>
        <w:t>liczby miejsc wychowania przedszkolnego w stosunku do liczby dzieci w wieku 3 - 5 lat.</w:t>
      </w:r>
    </w:p>
    <w:p w:rsidR="00202C2D" w:rsidRDefault="004366E5">
      <w:pPr>
        <w:rPr>
          <w:b/>
          <w:sz w:val="28"/>
        </w:rPr>
      </w:pPr>
      <w:r>
        <w:rPr>
          <w:sz w:val="28"/>
        </w:rPr>
        <w:t>3. Dopuszczalny poziom cross-</w:t>
      </w:r>
      <w:proofErr w:type="spellStart"/>
      <w:r>
        <w:rPr>
          <w:sz w:val="28"/>
        </w:rPr>
        <w:t>financingu</w:t>
      </w:r>
      <w:proofErr w:type="spellEnd"/>
      <w:r>
        <w:rPr>
          <w:sz w:val="28"/>
        </w:rPr>
        <w:t xml:space="preserve"> każdorazowo uzależniony będzie od decyzji IZ FEP i zostanie wskazany w regulaminie wyboru projektów.</w:t>
      </w:r>
    </w:p>
    <w:p w:rsidR="00202C2D" w:rsidRDefault="004366E5">
      <w:pPr>
        <w:rPr>
          <w:b/>
          <w:sz w:val="28"/>
        </w:rPr>
      </w:pPr>
      <w:r>
        <w:rPr>
          <w:sz w:val="28"/>
        </w:rPr>
        <w:t xml:space="preserve">Ukierunkowanie terytorialne: </w:t>
      </w:r>
    </w:p>
    <w:p w:rsidR="00202C2D" w:rsidRDefault="004366E5">
      <w:pPr>
        <w:rPr>
          <w:b/>
          <w:sz w:val="28"/>
        </w:rPr>
      </w:pPr>
      <w:r>
        <w:rPr>
          <w:sz w:val="28"/>
        </w:rPr>
        <w:t>Interwencja jest prowadzona na terenie całego województwa.</w:t>
      </w:r>
    </w:p>
    <w:p w:rsidR="00202C2D" w:rsidRDefault="004366E5">
      <w:pPr>
        <w:rPr>
          <w:b/>
          <w:sz w:val="28"/>
        </w:rPr>
      </w:pPr>
      <w:r>
        <w:rPr>
          <w:sz w:val="28"/>
        </w:rPr>
        <w:t xml:space="preserve">Preferowane są projekty realizowane na obszarach: </w:t>
      </w:r>
    </w:p>
    <w:p w:rsidR="00202C2D" w:rsidRDefault="004366E5">
      <w:pPr>
        <w:rPr>
          <w:b/>
          <w:sz w:val="28"/>
        </w:rPr>
      </w:pPr>
      <w:r>
        <w:rPr>
          <w:sz w:val="28"/>
        </w:rPr>
        <w:t xml:space="preserve">a. o odsetku dzieci objętych wychowaniem przedszkolnym poniżej średniej wojewódzkiej; </w:t>
      </w:r>
    </w:p>
    <w:p w:rsidR="00202C2D" w:rsidRDefault="004366E5">
      <w:pPr>
        <w:rPr>
          <w:b/>
          <w:sz w:val="28"/>
        </w:rPr>
      </w:pPr>
      <w:r>
        <w:rPr>
          <w:sz w:val="28"/>
        </w:rPr>
        <w:t>b. przewidzianych w miejscowych planach zagospodarowania przestrzennego do zabudowy wielorodzinnej;</w:t>
      </w:r>
    </w:p>
    <w:p w:rsidR="00202C2D" w:rsidRDefault="004366E5">
      <w:pPr>
        <w:rPr>
          <w:b/>
          <w:sz w:val="28"/>
        </w:rPr>
      </w:pPr>
      <w:r>
        <w:rPr>
          <w:sz w:val="28"/>
        </w:rPr>
        <w:t>c. gmin wiejskich i miejsko-wiejskich.</w:t>
      </w:r>
    </w:p>
    <w:p w:rsidR="00202C2D" w:rsidRDefault="004366E5">
      <w:pPr>
        <w:rPr>
          <w:b/>
          <w:sz w:val="28"/>
        </w:rPr>
      </w:pPr>
      <w:r>
        <w:rPr>
          <w:sz w:val="28"/>
        </w:rPr>
        <w:t>Powyższe preferencje nie dotyczą projektów zintegrowanych z interwencją prowadzoną w Działaniu 6.1. Infrastruktura edukacji przedszkolnej.</w:t>
      </w:r>
    </w:p>
    <w:p w:rsidR="00202C2D" w:rsidRDefault="004366E5">
      <w:pPr>
        <w:rPr>
          <w:b/>
          <w:sz w:val="28"/>
        </w:rPr>
      </w:pPr>
      <w:r>
        <w:rPr>
          <w:sz w:val="28"/>
        </w:rPr>
        <w:t xml:space="preserve">Preferowane zgodnie z Programem będą projekty: </w:t>
      </w:r>
    </w:p>
    <w:p w:rsidR="00202C2D" w:rsidRDefault="004366E5">
      <w:pPr>
        <w:rPr>
          <w:b/>
          <w:sz w:val="28"/>
        </w:rPr>
      </w:pPr>
      <w:r>
        <w:rPr>
          <w:sz w:val="28"/>
        </w:rPr>
        <w:t>a. obejmujące działania podnoszące jakość edukacji przedszkolnej zintegrowane z tworzeniem nowych miejsc wychowania przedszkolnego;</w:t>
      </w:r>
    </w:p>
    <w:p w:rsidR="00202C2D" w:rsidRDefault="004366E5">
      <w:pPr>
        <w:rPr>
          <w:b/>
          <w:sz w:val="28"/>
        </w:rPr>
      </w:pPr>
      <w:r>
        <w:rPr>
          <w:sz w:val="28"/>
        </w:rPr>
        <w:t>b. uwzględniające specyficzne potrzeby dzieci z doświadczeniem migracji (w tym repatriantów) oraz dzieci z niepełnosprawnościami (w placówkach ogólnodostępnych);</w:t>
      </w:r>
    </w:p>
    <w:p w:rsidR="00202C2D" w:rsidRDefault="004366E5">
      <w:pPr>
        <w:rPr>
          <w:b/>
          <w:sz w:val="28"/>
        </w:rPr>
      </w:pPr>
      <w:r>
        <w:rPr>
          <w:sz w:val="28"/>
        </w:rPr>
        <w:t>c. uzgodnione w ramach Zintegrowanych Porozumień Terytorialnych (ZPT) (preferencja nie dotyczy projektów zintegrowanych).</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90</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202C2D" w:rsidRDefault="004366E5">
      <w:pPr>
        <w:rPr>
          <w:b/>
          <w:sz w:val="28"/>
        </w:rPr>
      </w:pPr>
      <w:r>
        <w:rPr>
          <w:b/>
          <w:sz w:val="28"/>
        </w:rPr>
        <w:t>Uproszczone metody rozliczania</w:t>
      </w:r>
    </w:p>
    <w:p w:rsidR="00202C2D" w:rsidRDefault="004366E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40</w:t>
      </w:r>
    </w:p>
    <w:p w:rsidR="00202C2D" w:rsidRDefault="004366E5">
      <w:pPr>
        <w:rPr>
          <w:b/>
          <w:sz w:val="28"/>
        </w:rPr>
      </w:pPr>
      <w:r>
        <w:rPr>
          <w:b/>
          <w:sz w:val="28"/>
        </w:rPr>
        <w:t>Minimalny wkład własny beneficjenta</w:t>
      </w:r>
    </w:p>
    <w:p w:rsidR="00202C2D" w:rsidRDefault="004366E5">
      <w:pPr>
        <w:rPr>
          <w:b/>
          <w:sz w:val="28"/>
        </w:rPr>
      </w:pPr>
      <w:r>
        <w:rPr>
          <w:sz w:val="28"/>
        </w:rPr>
        <w:t>10%</w:t>
      </w:r>
    </w:p>
    <w:p w:rsidR="00202C2D" w:rsidRDefault="004366E5">
      <w:pPr>
        <w:rPr>
          <w:b/>
          <w:sz w:val="28"/>
        </w:rPr>
      </w:pPr>
      <w:r>
        <w:rPr>
          <w:b/>
          <w:sz w:val="28"/>
        </w:rPr>
        <w:t>Sposób wyboru projektów</w:t>
      </w:r>
    </w:p>
    <w:p w:rsidR="00202C2D" w:rsidRDefault="004366E5">
      <w:pPr>
        <w:rPr>
          <w:b/>
          <w:sz w:val="28"/>
        </w:rPr>
      </w:pPr>
      <w:r>
        <w:rPr>
          <w:sz w:val="28"/>
        </w:rPr>
        <w:lastRenderedPageBreak/>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202C2D" w:rsidRDefault="004366E5">
      <w:pPr>
        <w:rPr>
          <w:b/>
          <w:sz w:val="28"/>
        </w:rPr>
      </w:pPr>
      <w:r>
        <w:rPr>
          <w:b/>
          <w:sz w:val="28"/>
        </w:rPr>
        <w:t>Grupa docelowa</w:t>
      </w:r>
    </w:p>
    <w:p w:rsidR="00202C2D" w:rsidRDefault="004366E5">
      <w:pPr>
        <w:rPr>
          <w:b/>
          <w:sz w:val="28"/>
        </w:rPr>
      </w:pPr>
      <w:r>
        <w:rPr>
          <w:sz w:val="28"/>
        </w:rP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202C2D" w:rsidRDefault="004366E5">
      <w:pPr>
        <w:rPr>
          <w:b/>
          <w:sz w:val="28"/>
        </w:rPr>
      </w:pPr>
      <w:r>
        <w:rPr>
          <w:b/>
          <w:sz w:val="28"/>
        </w:rPr>
        <w:t>Słowa kluczowe</w:t>
      </w:r>
    </w:p>
    <w:p w:rsidR="00202C2D" w:rsidRDefault="004366E5">
      <w:pPr>
        <w:rPr>
          <w:b/>
          <w:sz w:val="28"/>
        </w:rPr>
      </w:pP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w:t>
      </w:r>
      <w:proofErr w:type="spellStart"/>
      <w:r>
        <w:rPr>
          <w:sz w:val="28"/>
        </w:rPr>
        <w:t>kompetencje_kluczowe</w:t>
      </w:r>
      <w:proofErr w:type="spellEnd"/>
      <w:r>
        <w:rPr>
          <w:sz w:val="28"/>
        </w:rPr>
        <w:t xml:space="preserve">, </w:t>
      </w:r>
      <w:proofErr w:type="spellStart"/>
      <w:r>
        <w:rPr>
          <w:sz w:val="28"/>
        </w:rPr>
        <w:t>opieka_nad_dziećmi</w:t>
      </w:r>
      <w:proofErr w:type="spellEnd"/>
      <w:r>
        <w:rPr>
          <w:sz w:val="28"/>
        </w:rPr>
        <w:t xml:space="preserve">, </w:t>
      </w:r>
      <w:proofErr w:type="spellStart"/>
      <w:r>
        <w:rPr>
          <w:sz w:val="28"/>
        </w:rPr>
        <w:t>szkolenie_nauczycieli</w:t>
      </w:r>
      <w:proofErr w:type="spellEnd"/>
      <w:r>
        <w:rPr>
          <w:sz w:val="28"/>
        </w:rPr>
        <w:t xml:space="preserve">, </w:t>
      </w:r>
      <w:proofErr w:type="spellStart"/>
      <w:r>
        <w:rPr>
          <w:sz w:val="28"/>
        </w:rPr>
        <w:t>wychowanie_przedszkolne</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202C2D" w:rsidRDefault="004366E5">
      <w:pPr>
        <w:rPr>
          <w:b/>
          <w:sz w:val="28"/>
        </w:rPr>
      </w:pPr>
      <w:r>
        <w:rPr>
          <w:b/>
          <w:sz w:val="28"/>
        </w:rPr>
        <w:t>Wskaźniki produktu</w:t>
      </w:r>
    </w:p>
    <w:p w:rsidR="00202C2D" w:rsidRDefault="004366E5">
      <w:pPr>
        <w:rPr>
          <w:b/>
          <w:sz w:val="28"/>
        </w:rPr>
      </w:pPr>
      <w:r>
        <w:rPr>
          <w:sz w:val="28"/>
        </w:rPr>
        <w:t>WLWK-PLFCO02 - Liczba dofinansowanych miejsc wychowania przedszkolnego</w:t>
      </w:r>
    </w:p>
    <w:p w:rsidR="00202C2D" w:rsidRDefault="004366E5">
      <w:pPr>
        <w:rPr>
          <w:b/>
          <w:sz w:val="28"/>
        </w:rPr>
      </w:pPr>
      <w:r>
        <w:rPr>
          <w:sz w:val="28"/>
        </w:rPr>
        <w:t>WLWK-PLFCO09 - Liczba dzieci lub uczniów o specjalnych potrzebach rozwojowych i edukacyjnych, którzy zostali objęci usługami asystenta</w:t>
      </w:r>
    </w:p>
    <w:p w:rsidR="00202C2D" w:rsidRDefault="004366E5">
      <w:pPr>
        <w:rPr>
          <w:b/>
          <w:sz w:val="28"/>
        </w:rPr>
      </w:pPr>
      <w:r>
        <w:rPr>
          <w:sz w:val="28"/>
        </w:rPr>
        <w:t>WLWK-PLFCO01 - Liczba dzieci objętych dodatkowymi zajęciami w edukacji przedszkolnej</w:t>
      </w:r>
    </w:p>
    <w:p w:rsidR="00202C2D" w:rsidRDefault="004366E5">
      <w:pPr>
        <w:rPr>
          <w:b/>
          <w:sz w:val="28"/>
        </w:rPr>
      </w:pPr>
      <w:r>
        <w:rPr>
          <w:sz w:val="28"/>
        </w:rPr>
        <w:lastRenderedPageBreak/>
        <w:t>WLWK-PLFCO08 - Liczba dzieci/uczniów o specjalnych potrzebach rozwojowych i edukacyjnych, objętych wsparciem</w:t>
      </w:r>
    </w:p>
    <w:p w:rsidR="00202C2D" w:rsidRDefault="004366E5">
      <w:pPr>
        <w:rPr>
          <w:b/>
          <w:sz w:val="28"/>
        </w:rPr>
      </w:pPr>
      <w:r>
        <w:rPr>
          <w:sz w:val="28"/>
        </w:rPr>
        <w:t>WLWK-PLFCO11 - Liczba miejsc wychowania przedszkolnego dostosowanych do potrzeb dzieci z niepełnosprawnością</w:t>
      </w:r>
    </w:p>
    <w:p w:rsidR="00202C2D" w:rsidRDefault="004366E5">
      <w:pPr>
        <w:rPr>
          <w:b/>
          <w:sz w:val="28"/>
        </w:rPr>
      </w:pPr>
      <w:r>
        <w:rPr>
          <w:sz w:val="28"/>
        </w:rPr>
        <w:t>WLWK-PL0CO02 - Liczba obiektów dostosowanych do potrzeb osób z niepełnosprawnościami</w:t>
      </w:r>
    </w:p>
    <w:p w:rsidR="00202C2D" w:rsidRDefault="004366E5">
      <w:pPr>
        <w:rPr>
          <w:b/>
          <w:sz w:val="28"/>
        </w:rPr>
      </w:pPr>
      <w:r>
        <w:rPr>
          <w:sz w:val="28"/>
        </w:rPr>
        <w:t>WLWK-PLFCO10 - Liczba obiektów edukacyjnych dostosowanych do potrzeb osób z niepełnosprawnościami</w:t>
      </w:r>
    </w:p>
    <w:p w:rsidR="00202C2D" w:rsidRDefault="004366E5">
      <w:pPr>
        <w:rPr>
          <w:b/>
          <w:sz w:val="28"/>
        </w:rPr>
      </w:pPr>
      <w:r>
        <w:rPr>
          <w:sz w:val="28"/>
        </w:rPr>
        <w:t>WLWK-PLFCO12 - Liczba ogólnodostępnych szkół i placówek systemu oświaty objętych wsparciem w zakresie edukacji włączającej</w:t>
      </w:r>
    </w:p>
    <w:p w:rsidR="00202C2D" w:rsidRDefault="004366E5">
      <w:pPr>
        <w:rPr>
          <w:b/>
          <w:sz w:val="28"/>
        </w:rPr>
      </w:pPr>
      <w:r>
        <w:rPr>
          <w:sz w:val="28"/>
        </w:rPr>
        <w:t>WLWK-EECO15 - Liczba osób należących do mniejszości, w tym społeczności marginalizowanych takich jak Romowie, objętych wsparciem w programie</w:t>
      </w:r>
    </w:p>
    <w:p w:rsidR="00202C2D" w:rsidRDefault="004366E5">
      <w:pPr>
        <w:rPr>
          <w:b/>
          <w:sz w:val="28"/>
        </w:rPr>
      </w:pPr>
      <w:r>
        <w:rPr>
          <w:sz w:val="28"/>
        </w:rPr>
        <w:t>WLWK-EECO14 - Liczba osób obcego pochodzenia objętych wsparciem w programie</w:t>
      </w:r>
    </w:p>
    <w:p w:rsidR="00202C2D" w:rsidRDefault="004366E5">
      <w:pPr>
        <w:rPr>
          <w:b/>
          <w:sz w:val="28"/>
        </w:rPr>
      </w:pPr>
      <w:r>
        <w:rPr>
          <w:sz w:val="28"/>
        </w:rPr>
        <w:t>WLWK-EECO16 - Liczba osób w kryzysie bezdomności lub dotkniętych wykluczeniem z dostępu do mieszkań, objętych wsparciem w programie</w:t>
      </w:r>
    </w:p>
    <w:p w:rsidR="00202C2D" w:rsidRDefault="004366E5">
      <w:pPr>
        <w:rPr>
          <w:b/>
          <w:sz w:val="28"/>
        </w:rPr>
      </w:pPr>
      <w:r>
        <w:rPr>
          <w:sz w:val="28"/>
        </w:rPr>
        <w:t>WLWK-EECO13 - Liczba osób z krajów trzecich objętych wsparciem w programie</w:t>
      </w:r>
    </w:p>
    <w:p w:rsidR="00202C2D" w:rsidRDefault="004366E5">
      <w:pPr>
        <w:rPr>
          <w:b/>
          <w:sz w:val="28"/>
        </w:rPr>
      </w:pPr>
      <w:r>
        <w:rPr>
          <w:sz w:val="28"/>
        </w:rPr>
        <w:t>WLWK-EECO12 - Liczba osób z niepełnosprawnościami objętych wsparciem w programie</w:t>
      </w:r>
    </w:p>
    <w:p w:rsidR="00202C2D" w:rsidRDefault="004366E5">
      <w:pPr>
        <w:rPr>
          <w:b/>
          <w:sz w:val="28"/>
        </w:rPr>
      </w:pPr>
      <w:r>
        <w:rPr>
          <w:sz w:val="28"/>
        </w:rPr>
        <w:t>WLWK-PL0CO01 - Liczba projektów, w których sfinansowano koszty racjonalnych usprawnień dla osób z niepełnosprawnościami</w:t>
      </w:r>
    </w:p>
    <w:p w:rsidR="00202C2D" w:rsidRDefault="004366E5">
      <w:pPr>
        <w:rPr>
          <w:b/>
          <w:sz w:val="28"/>
        </w:rPr>
      </w:pPr>
      <w:r>
        <w:rPr>
          <w:sz w:val="28"/>
        </w:rPr>
        <w:t>WLWK-PLFCO14 - Liczba przedstawicieli kadr szkół i placówek systemu oświaty objętych wsparciem świadczonym przez szkoły ćwiczeń</w:t>
      </w:r>
    </w:p>
    <w:p w:rsidR="00202C2D" w:rsidRDefault="004366E5">
      <w:pPr>
        <w:rPr>
          <w:b/>
          <w:sz w:val="28"/>
        </w:rPr>
      </w:pPr>
      <w:r>
        <w:rPr>
          <w:sz w:val="28"/>
        </w:rPr>
        <w:t>WLWK-PLFCO06 - Liczba przedstawicieli kadry szkół i placówek systemu oświaty objętych wsparciem</w:t>
      </w:r>
    </w:p>
    <w:p w:rsidR="00202C2D" w:rsidRDefault="004366E5">
      <w:pPr>
        <w:rPr>
          <w:b/>
          <w:sz w:val="28"/>
        </w:rPr>
      </w:pPr>
      <w:r>
        <w:rPr>
          <w:sz w:val="28"/>
        </w:rPr>
        <w:t>WLWK-PLFCO07 - Liczba szkół i placówek systemu oświaty objętych wsparciem</w:t>
      </w:r>
    </w:p>
    <w:p w:rsidR="00202C2D" w:rsidRDefault="004366E5">
      <w:pPr>
        <w:rPr>
          <w:b/>
          <w:sz w:val="28"/>
        </w:rPr>
      </w:pPr>
      <w:r>
        <w:rPr>
          <w:b/>
          <w:sz w:val="28"/>
        </w:rPr>
        <w:lastRenderedPageBreak/>
        <w:t>Wskaźniki rezultatu</w:t>
      </w:r>
    </w:p>
    <w:p w:rsidR="00202C2D" w:rsidRDefault="004366E5">
      <w:pPr>
        <w:rPr>
          <w:b/>
          <w:sz w:val="28"/>
        </w:rPr>
      </w:pPr>
      <w:r>
        <w:rPr>
          <w:sz w:val="28"/>
        </w:rPr>
        <w:t>WLWK-PLFCR02 - Liczba przedstawicieli kadry szkół i placówek systemu oświaty, którzy uzyskali kwalifikacje po opuszczeniu programu</w:t>
      </w:r>
    </w:p>
    <w:p w:rsidR="00202C2D" w:rsidRDefault="00202C2D">
      <w:pPr>
        <w:rPr>
          <w:b/>
          <w:sz w:val="28"/>
        </w:rPr>
      </w:pPr>
    </w:p>
    <w:p w:rsidR="00202C2D" w:rsidRDefault="004366E5">
      <w:pPr>
        <w:pStyle w:val="Nagwek3"/>
        <w:rPr>
          <w:rFonts w:ascii="Calibri" w:hAnsi="Calibri" w:cs="Calibri"/>
          <w:sz w:val="32"/>
        </w:rPr>
      </w:pPr>
      <w:bookmarkStart w:id="17" w:name="_Toc132714002"/>
      <w:r>
        <w:rPr>
          <w:rFonts w:ascii="Calibri" w:hAnsi="Calibri" w:cs="Calibri"/>
          <w:sz w:val="32"/>
        </w:rPr>
        <w:t>Działanie FEPM.05.08 Edukacja ogólna i zawodowa</w:t>
      </w:r>
      <w:bookmarkEnd w:id="17"/>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202C2D" w:rsidRDefault="004366E5">
      <w:pPr>
        <w:rPr>
          <w:b/>
          <w:sz w:val="28"/>
        </w:rPr>
      </w:pPr>
      <w:r>
        <w:rPr>
          <w:b/>
          <w:sz w:val="28"/>
        </w:rPr>
        <w:t>Wysokość alokacji UE (EUR)</w:t>
      </w:r>
    </w:p>
    <w:p w:rsidR="00202C2D" w:rsidRDefault="004366E5">
      <w:pPr>
        <w:rPr>
          <w:b/>
          <w:sz w:val="28"/>
        </w:rPr>
      </w:pPr>
      <w:r>
        <w:rPr>
          <w:sz w:val="28"/>
        </w:rPr>
        <w:t>112 638 641,00</w:t>
      </w:r>
    </w:p>
    <w:p w:rsidR="00202C2D" w:rsidRDefault="004366E5">
      <w:pPr>
        <w:rPr>
          <w:b/>
          <w:sz w:val="28"/>
        </w:rPr>
      </w:pPr>
      <w:r>
        <w:rPr>
          <w:b/>
          <w:sz w:val="28"/>
        </w:rPr>
        <w:t>Zakres interwencji</w:t>
      </w:r>
    </w:p>
    <w:p w:rsidR="00202C2D" w:rsidRDefault="004366E5">
      <w:pPr>
        <w:rPr>
          <w:b/>
          <w:sz w:val="28"/>
        </w:rPr>
      </w:pPr>
      <w:r>
        <w:rPr>
          <w:sz w:val="28"/>
        </w:rPr>
        <w:t>136 - Wsparcie szczególne na rzecz zatrudnienia ludzi młodych i integracji społeczno-gospodarczej ludzi młodych, 149 - Wsparcie na rzecz szkolnictwa podstawowego i średniego (z wyłączeniem infrastruktury)</w:t>
      </w:r>
    </w:p>
    <w:p w:rsidR="00202C2D" w:rsidRDefault="004366E5">
      <w:pPr>
        <w:rPr>
          <w:b/>
          <w:sz w:val="28"/>
        </w:rPr>
      </w:pPr>
      <w:r>
        <w:rPr>
          <w:b/>
          <w:sz w:val="28"/>
        </w:rPr>
        <w:t>Opis działania</w:t>
      </w:r>
    </w:p>
    <w:p w:rsidR="00202C2D" w:rsidRDefault="004366E5">
      <w:pPr>
        <w:rPr>
          <w:b/>
          <w:sz w:val="28"/>
        </w:rPr>
      </w:pPr>
      <w:r>
        <w:rPr>
          <w:sz w:val="28"/>
        </w:rPr>
        <w:t xml:space="preserve">Istotnym wyzwaniem jest podnoszenie u uczniów podstawowych umiejętności i kompetencji o kluczowym znaczeniu dla zdolności do zatrudnienia oraz dla kontynuowania edukacji. </w:t>
      </w:r>
    </w:p>
    <w:p w:rsidR="00202C2D" w:rsidRDefault="004366E5">
      <w:pPr>
        <w:rPr>
          <w:b/>
          <w:sz w:val="28"/>
        </w:rPr>
      </w:pPr>
      <w:r>
        <w:rPr>
          <w:sz w:val="28"/>
        </w:rPr>
        <w:t xml:space="preserve">Problemem pozostaje wsparcie uczniów ze specjalnymi potrzebami edukacyjnymi oraz ich opiekunów. Zarówno w szkołach, jak i publicznych poradniach psychologiczno-pedagogicznych, brakuje kadr z odpowiednimi kwalifikacjami i </w:t>
      </w:r>
      <w:r>
        <w:rPr>
          <w:sz w:val="28"/>
        </w:rPr>
        <w:lastRenderedPageBreak/>
        <w:t>kompetencjami oraz zaplecza infrastrukturalnego. Liczne wyzwania związane m.in. ze zmianami w edukacji powodują konieczność wypracowania skutecznych mechanizmów wsparcia dla nauczycieli, w tym podnoszenia jakości ich pracy oraz kwalifikacji.</w:t>
      </w:r>
    </w:p>
    <w:p w:rsidR="00202C2D" w:rsidRDefault="004366E5">
      <w:pPr>
        <w:rPr>
          <w:b/>
          <w:sz w:val="28"/>
        </w:rPr>
      </w:pPr>
      <w:r>
        <w:rPr>
          <w:sz w:val="28"/>
        </w:rP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p>
    <w:p w:rsidR="00202C2D" w:rsidRDefault="004366E5">
      <w:pPr>
        <w:rPr>
          <w:b/>
          <w:sz w:val="28"/>
        </w:rPr>
      </w:pPr>
      <w:r>
        <w:rPr>
          <w:sz w:val="28"/>
        </w:rP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p>
    <w:p w:rsidR="00202C2D" w:rsidRDefault="004366E5">
      <w:pPr>
        <w:rPr>
          <w:b/>
          <w:sz w:val="28"/>
        </w:rPr>
      </w:pPr>
      <w:r>
        <w:rPr>
          <w:sz w:val="28"/>
        </w:rPr>
        <w:t>Typy projektów:</w:t>
      </w:r>
    </w:p>
    <w:p w:rsidR="00202C2D" w:rsidRDefault="004366E5">
      <w:pPr>
        <w:rPr>
          <w:b/>
          <w:sz w:val="28"/>
        </w:rPr>
      </w:pPr>
      <w:r>
        <w:rPr>
          <w:sz w:val="28"/>
        </w:rPr>
        <w:t>1. Wsparcie szkół, ich uczniów i nauczycieli, w tym w zakresie kształtowania kompetencji kluczowych, realizowane w oparciu o diagnozę potrzeb, ukierunkowane na podniesienie jakości edukacji, obejmujące m.in.:</w:t>
      </w:r>
    </w:p>
    <w:p w:rsidR="00202C2D" w:rsidRDefault="004366E5">
      <w:pPr>
        <w:rPr>
          <w:b/>
          <w:sz w:val="28"/>
        </w:rPr>
      </w:pPr>
      <w:r>
        <w:rPr>
          <w:sz w:val="28"/>
        </w:rPr>
        <w:t>a. poszerzenie oferty zajęć z wykorzystaniem potencjału różnych podmiotów (m.in. instytucji kultury, szkół wyższych, organizacji pozarządowych, pracodawców lub ich organizacji);</w:t>
      </w:r>
    </w:p>
    <w:p w:rsidR="00202C2D" w:rsidRDefault="004366E5">
      <w:pPr>
        <w:rPr>
          <w:b/>
          <w:sz w:val="28"/>
        </w:rPr>
      </w:pPr>
      <w:r>
        <w:rPr>
          <w:sz w:val="28"/>
        </w:rP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p>
    <w:p w:rsidR="00202C2D" w:rsidRDefault="004366E5">
      <w:pPr>
        <w:rPr>
          <w:b/>
          <w:sz w:val="28"/>
        </w:rPr>
      </w:pPr>
      <w:r>
        <w:rPr>
          <w:sz w:val="28"/>
        </w:rPr>
        <w:t>c. rozwój kompetencji cyfrowych w procesie nauczania;</w:t>
      </w:r>
    </w:p>
    <w:p w:rsidR="00202C2D" w:rsidRDefault="004366E5">
      <w:pPr>
        <w:rPr>
          <w:b/>
          <w:sz w:val="28"/>
        </w:rPr>
      </w:pPr>
      <w:r>
        <w:rPr>
          <w:sz w:val="28"/>
        </w:rPr>
        <w:lastRenderedPageBreak/>
        <w:t>d. wsparcie psychologiczno-pedagogiczne;</w:t>
      </w:r>
    </w:p>
    <w:p w:rsidR="00202C2D" w:rsidRDefault="004366E5">
      <w:pPr>
        <w:rPr>
          <w:b/>
          <w:sz w:val="28"/>
        </w:rPr>
      </w:pPr>
      <w:r>
        <w:rPr>
          <w:sz w:val="28"/>
        </w:rPr>
        <w:t>e. poszerzenie i dopasowanie do potrzeb uczniów oferty z zakresu doradztwa zawodowego, uwzględniającego aspekty przełamywania stereotypów płciowych w wyborze zawodu oraz promocję kierunków z obszaru STEM, szczególnie wśród dziewcząt;</w:t>
      </w:r>
    </w:p>
    <w:p w:rsidR="00202C2D" w:rsidRDefault="004366E5">
      <w:pPr>
        <w:rPr>
          <w:b/>
          <w:sz w:val="28"/>
        </w:rPr>
      </w:pPr>
      <w:r>
        <w:rPr>
          <w:sz w:val="28"/>
        </w:rP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p>
    <w:p w:rsidR="00202C2D" w:rsidRDefault="004366E5">
      <w:pPr>
        <w:rPr>
          <w:b/>
          <w:sz w:val="28"/>
        </w:rPr>
      </w:pPr>
      <w:r>
        <w:rPr>
          <w:sz w:val="28"/>
        </w:rPr>
        <w:t>Uzupełniająco realizowane będą również:</w:t>
      </w:r>
    </w:p>
    <w:p w:rsidR="00202C2D" w:rsidRDefault="004366E5">
      <w:pPr>
        <w:rPr>
          <w:b/>
          <w:sz w:val="28"/>
        </w:rPr>
      </w:pPr>
      <w:r>
        <w:rPr>
          <w:sz w:val="28"/>
        </w:rPr>
        <w:t>g. wprowadzanie rozwiązań organizacyjnych i metodycznych wpływających na efektywność kształtowania kompetencji kluczowych uczniów;</w:t>
      </w:r>
    </w:p>
    <w:p w:rsidR="00202C2D" w:rsidRDefault="004366E5">
      <w:pPr>
        <w:rPr>
          <w:b/>
          <w:sz w:val="28"/>
        </w:rPr>
      </w:pPr>
      <w:r>
        <w:rPr>
          <w:sz w:val="28"/>
        </w:rPr>
        <w:t xml:space="preserve">h. wypracowanie rozwiązań wzmacniających relacje na linii szkoła-nauczyciele-rodzice.  </w:t>
      </w:r>
    </w:p>
    <w:p w:rsidR="00202C2D" w:rsidRDefault="004366E5">
      <w:pPr>
        <w:rPr>
          <w:b/>
          <w:sz w:val="28"/>
        </w:rPr>
      </w:pPr>
      <w:r>
        <w:rPr>
          <w:sz w:val="28"/>
        </w:rP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p>
    <w:p w:rsidR="00202C2D" w:rsidRDefault="004366E5">
      <w:pPr>
        <w:rPr>
          <w:b/>
          <w:sz w:val="28"/>
        </w:rPr>
      </w:pPr>
      <w:r>
        <w:rPr>
          <w:sz w:val="28"/>
        </w:rPr>
        <w:t>3. Realizacja regionalnego programu stypendialnego wyrównującego szanse edukacyjne uczniów w najtrudniejszej sytuacji ekonomicznej.</w:t>
      </w:r>
    </w:p>
    <w:p w:rsidR="00202C2D" w:rsidRDefault="004366E5">
      <w:pPr>
        <w:rPr>
          <w:b/>
          <w:sz w:val="28"/>
        </w:rPr>
      </w:pPr>
      <w:r>
        <w:rPr>
          <w:sz w:val="28"/>
        </w:rP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p>
    <w:p w:rsidR="00202C2D" w:rsidRDefault="004366E5">
      <w:pPr>
        <w:rPr>
          <w:b/>
          <w:sz w:val="28"/>
        </w:rPr>
      </w:pPr>
      <w:r>
        <w:rPr>
          <w:sz w:val="28"/>
        </w:rPr>
        <w:t>5. Wdrażanie edukacji włączającej zakładające wsparcie uczniów z niepełnosprawnościami, zaburzeniami zachowania i emocji, z trudnościami w nauce oraz uczniów z doświadczeniem migracji (w tym repatriantów), w szczególności:</w:t>
      </w:r>
    </w:p>
    <w:p w:rsidR="00202C2D" w:rsidRDefault="004366E5">
      <w:pPr>
        <w:rPr>
          <w:b/>
          <w:sz w:val="28"/>
        </w:rPr>
      </w:pPr>
      <w:r>
        <w:rPr>
          <w:sz w:val="28"/>
        </w:rPr>
        <w:lastRenderedPageBreak/>
        <w:t>a. wsparcie dostępu do kadry psychologicznej na terenie szkoły;</w:t>
      </w:r>
    </w:p>
    <w:p w:rsidR="00202C2D" w:rsidRDefault="004366E5">
      <w:pPr>
        <w:rPr>
          <w:b/>
          <w:sz w:val="28"/>
        </w:rPr>
      </w:pPr>
      <w:r>
        <w:rPr>
          <w:sz w:val="28"/>
        </w:rPr>
        <w:t>b. wsparcie uczniów, w tym poprzez zapewnienie usług asystenckich dla uczniów;</w:t>
      </w:r>
    </w:p>
    <w:p w:rsidR="00202C2D" w:rsidRDefault="004366E5">
      <w:pPr>
        <w:rPr>
          <w:b/>
          <w:sz w:val="28"/>
        </w:rPr>
      </w:pPr>
      <w:r>
        <w:rPr>
          <w:sz w:val="28"/>
        </w:rPr>
        <w:t>c. wsparcie kadr systemu oświaty w zakresie podnoszenia jakości edukacji włączającej, w tym stosowania projektowania uniwersalnego i racjonalnych dostosowań w edukacji;</w:t>
      </w:r>
    </w:p>
    <w:p w:rsidR="00202C2D" w:rsidRDefault="004366E5">
      <w:pPr>
        <w:rPr>
          <w:b/>
          <w:sz w:val="28"/>
        </w:rPr>
      </w:pPr>
      <w:r>
        <w:rPr>
          <w:sz w:val="28"/>
        </w:rPr>
        <w:t>d. wspieranie działań, które integrowałyby dzieci ze szkół specjalnych z dziećmi ze szkół ogólnodostępnych oraz systemowych rozwiązań mających na celu upodmiotawianie uczniów z niepełnosprawnościami i wzmacniających rodziców.</w:t>
      </w:r>
    </w:p>
    <w:p w:rsidR="00202C2D" w:rsidRDefault="004366E5">
      <w:pPr>
        <w:rPr>
          <w:b/>
          <w:sz w:val="28"/>
        </w:rPr>
      </w:pPr>
      <w:r>
        <w:rPr>
          <w:sz w:val="28"/>
        </w:rP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p>
    <w:p w:rsidR="00202C2D" w:rsidRDefault="004366E5">
      <w:pPr>
        <w:rPr>
          <w:b/>
          <w:sz w:val="28"/>
        </w:rPr>
      </w:pPr>
      <w:r>
        <w:rPr>
          <w:sz w:val="28"/>
        </w:rPr>
        <w:t>7. Wsparcie uczniów o szczególnych uzdolnieniach w przedmiotach zawodowych (w tym w formie stypendiów dla uczniów w najtrudniejszej sytuacji ekonomicznej).</w:t>
      </w:r>
    </w:p>
    <w:p w:rsidR="00202C2D" w:rsidRDefault="004366E5">
      <w:pPr>
        <w:rPr>
          <w:b/>
          <w:sz w:val="28"/>
        </w:rPr>
      </w:pPr>
      <w:r>
        <w:rPr>
          <w:sz w:val="28"/>
        </w:rPr>
        <w:t>8. Utworzenie sieci referencyjnych szkół i placówek oświatowych przez regionalne placówki doskonalenia nauczycieli.</w:t>
      </w:r>
    </w:p>
    <w:p w:rsidR="00202C2D" w:rsidRDefault="004366E5">
      <w:pPr>
        <w:rPr>
          <w:b/>
          <w:sz w:val="28"/>
        </w:rPr>
      </w:pPr>
      <w:r>
        <w:rPr>
          <w:sz w:val="28"/>
        </w:rPr>
        <w:t xml:space="preserve">9. Inicjatywy w obszarze edukacji </w:t>
      </w:r>
      <w:proofErr w:type="spellStart"/>
      <w:r>
        <w:rPr>
          <w:sz w:val="28"/>
        </w:rPr>
        <w:t>pozaformalnej</w:t>
      </w:r>
      <w:proofErr w:type="spellEnd"/>
      <w:r>
        <w:rPr>
          <w:sz w:val="28"/>
        </w:rPr>
        <w:t xml:space="preserve"> i uczenia się nieformalnego służące m.in. rozwijaniu kompetencji obywatelskich, z zakresu równego traktowania, kulturowych, ekologicznych oraz związanych z morską specyfiką regionu.</w:t>
      </w:r>
    </w:p>
    <w:p w:rsidR="00202C2D" w:rsidRDefault="004366E5">
      <w:pPr>
        <w:rPr>
          <w:b/>
          <w:sz w:val="28"/>
        </w:rPr>
      </w:pPr>
      <w:r>
        <w:rPr>
          <w:sz w:val="28"/>
        </w:rPr>
        <w:t>Najważniejsze warunki realizacji projektów:</w:t>
      </w:r>
    </w:p>
    <w:p w:rsidR="00202C2D" w:rsidRDefault="004366E5">
      <w:pPr>
        <w:rPr>
          <w:b/>
          <w:sz w:val="28"/>
        </w:rPr>
      </w:pPr>
      <w:r>
        <w:rPr>
          <w:sz w:val="28"/>
        </w:rPr>
        <w:t xml:space="preserve">1. W odniesieniu do typu projektu nr 1 realizowane będą wyłącznie projekty poparte diagnozą i obejmujące minimum jeden rok szkolny. </w:t>
      </w:r>
    </w:p>
    <w:p w:rsidR="00202C2D" w:rsidRDefault="004366E5">
      <w:pPr>
        <w:rPr>
          <w:b/>
          <w:sz w:val="28"/>
        </w:rPr>
      </w:pPr>
      <w:r>
        <w:rPr>
          <w:sz w:val="28"/>
        </w:rPr>
        <w:t xml:space="preserve">2. W odniesieniu do typu projektu nr 6 działania realizowane będą we współpracy z pracodawcami lub ich organizacjami. </w:t>
      </w:r>
    </w:p>
    <w:p w:rsidR="00202C2D" w:rsidRDefault="004366E5">
      <w:pPr>
        <w:rPr>
          <w:b/>
          <w:sz w:val="28"/>
        </w:rPr>
      </w:pPr>
      <w:r>
        <w:rPr>
          <w:sz w:val="28"/>
        </w:rPr>
        <w:lastRenderedPageBreak/>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p>
    <w:p w:rsidR="00202C2D" w:rsidRDefault="004366E5">
      <w:pPr>
        <w:rPr>
          <w:b/>
          <w:sz w:val="28"/>
        </w:rPr>
      </w:pPr>
      <w:r>
        <w:rPr>
          <w:sz w:val="28"/>
        </w:rPr>
        <w:t>4. Interwencja w ramach typów projektów nr 1, 2, 4, 6 obejmuje przedsięwzięcia koordynowane i/lub realizowane bezpośrednio przez Samorząd Województwa Pomorskiego (SWP), a w ramach typów 3, 7, 8 wyłącznie przedsięwzięcia realizowane bezpośrednio przez SWP.</w:t>
      </w:r>
    </w:p>
    <w:p w:rsidR="00202C2D" w:rsidRDefault="004366E5">
      <w:pPr>
        <w:rPr>
          <w:b/>
          <w:sz w:val="28"/>
        </w:rPr>
      </w:pPr>
      <w:r>
        <w:rPr>
          <w:sz w:val="28"/>
        </w:rP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p>
    <w:p w:rsidR="00202C2D" w:rsidRDefault="004366E5">
      <w:pPr>
        <w:rPr>
          <w:b/>
          <w:sz w:val="28"/>
        </w:rPr>
      </w:pPr>
      <w:r>
        <w:rPr>
          <w:sz w:val="28"/>
        </w:rPr>
        <w:t>6. Dopuszczalny poziom cross-</w:t>
      </w:r>
      <w:proofErr w:type="spellStart"/>
      <w:r>
        <w:rPr>
          <w:sz w:val="28"/>
        </w:rPr>
        <w:t>financingu</w:t>
      </w:r>
      <w:proofErr w:type="spellEnd"/>
      <w:r>
        <w:rPr>
          <w:sz w:val="28"/>
        </w:rPr>
        <w:t xml:space="preserve"> każdorazowo uzależniony będzie od decyzji IZ FEP i zostanie wskazany w regulaminie wyboru projektów.</w:t>
      </w:r>
    </w:p>
    <w:p w:rsidR="00202C2D" w:rsidRDefault="004366E5">
      <w:pPr>
        <w:rPr>
          <w:b/>
          <w:sz w:val="28"/>
        </w:rPr>
      </w:pPr>
      <w:r>
        <w:rPr>
          <w:sz w:val="28"/>
        </w:rPr>
        <w:t>Ukierunkowanie terytorialne:</w:t>
      </w:r>
    </w:p>
    <w:p w:rsidR="00202C2D" w:rsidRDefault="004366E5">
      <w:pPr>
        <w:rPr>
          <w:b/>
          <w:sz w:val="28"/>
        </w:rPr>
      </w:pPr>
      <w:r>
        <w:rPr>
          <w:sz w:val="28"/>
        </w:rPr>
        <w:t xml:space="preserve">1. W zakresie kształtowania kompetencji kluczowych uczniów preferowane będą projekty realizowane na obszarach gmin wiejskich i miejsko-wiejskich. </w:t>
      </w:r>
    </w:p>
    <w:p w:rsidR="00202C2D" w:rsidRDefault="004366E5">
      <w:pPr>
        <w:rPr>
          <w:b/>
          <w:sz w:val="28"/>
        </w:rPr>
      </w:pPr>
      <w:r>
        <w:rPr>
          <w:sz w:val="28"/>
        </w:rPr>
        <w:t xml:space="preserve">2. Działania w obszarze referencyjnych szkół i placówek oświatowych oraz inicjatywy dotyczące edukacji </w:t>
      </w:r>
      <w:proofErr w:type="spellStart"/>
      <w:r>
        <w:rPr>
          <w:sz w:val="28"/>
        </w:rPr>
        <w:t>pozaformalnej</w:t>
      </w:r>
      <w:proofErr w:type="spellEnd"/>
      <w:r>
        <w:rPr>
          <w:sz w:val="28"/>
        </w:rPr>
        <w:t xml:space="preserve"> i uczenia się nieformalnego realizowane będą na obszarze całego województwa.</w:t>
      </w:r>
    </w:p>
    <w:p w:rsidR="00202C2D" w:rsidRDefault="004366E5">
      <w:pPr>
        <w:rPr>
          <w:b/>
          <w:sz w:val="28"/>
        </w:rPr>
      </w:pPr>
      <w:r>
        <w:rPr>
          <w:sz w:val="28"/>
        </w:rP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p>
    <w:p w:rsidR="00202C2D" w:rsidRDefault="004366E5">
      <w:pPr>
        <w:rPr>
          <w:b/>
          <w:sz w:val="28"/>
        </w:rPr>
      </w:pPr>
      <w:r>
        <w:rPr>
          <w:sz w:val="28"/>
        </w:rPr>
        <w:t>W pozostałych zakresach interwencja jest prowadzona na terenie całego województwa.</w:t>
      </w:r>
    </w:p>
    <w:p w:rsidR="00202C2D" w:rsidRDefault="004366E5">
      <w:pPr>
        <w:rPr>
          <w:b/>
          <w:sz w:val="28"/>
        </w:rPr>
      </w:pPr>
      <w:r>
        <w:rPr>
          <w:sz w:val="28"/>
        </w:rPr>
        <w:t>Preferowane będą projekty:</w:t>
      </w:r>
    </w:p>
    <w:p w:rsidR="00202C2D" w:rsidRDefault="004366E5">
      <w:pPr>
        <w:rPr>
          <w:b/>
          <w:sz w:val="28"/>
        </w:rPr>
      </w:pPr>
      <w:r>
        <w:rPr>
          <w:sz w:val="28"/>
        </w:rPr>
        <w:lastRenderedPageBreak/>
        <w:t xml:space="preserve">W zakresie kształtowania kompetencji kluczowych: </w:t>
      </w:r>
    </w:p>
    <w:p w:rsidR="00202C2D" w:rsidRDefault="004366E5">
      <w:pPr>
        <w:rPr>
          <w:b/>
          <w:sz w:val="28"/>
        </w:rPr>
      </w:pPr>
      <w:r>
        <w:rPr>
          <w:sz w:val="28"/>
        </w:rPr>
        <w:t>a. obejmujące szkoły o wynikach egzaminów zewnętrznych poniżej średniej wojewódzkiej;</w:t>
      </w:r>
    </w:p>
    <w:p w:rsidR="00202C2D" w:rsidRDefault="004366E5">
      <w:pPr>
        <w:rPr>
          <w:b/>
          <w:sz w:val="28"/>
        </w:rPr>
      </w:pPr>
      <w:r>
        <w:rPr>
          <w:sz w:val="28"/>
        </w:rPr>
        <w:t>b. obejmujące zintegrowane działania skierowane do uczniów i nauczycieli;</w:t>
      </w:r>
    </w:p>
    <w:p w:rsidR="00202C2D" w:rsidRDefault="004366E5">
      <w:pPr>
        <w:rPr>
          <w:b/>
          <w:sz w:val="28"/>
        </w:rPr>
      </w:pPr>
      <w:r>
        <w:rPr>
          <w:sz w:val="28"/>
        </w:rPr>
        <w:t>c. realizowane w partnerstwie organów prowadzących z co najmniej jednym z następujących podmiotów: instytucje kultury, organizacje pozarządowe, szkoły wyższe, pracodawcy lub ich organizacje;</w:t>
      </w:r>
    </w:p>
    <w:p w:rsidR="00202C2D" w:rsidRDefault="004366E5">
      <w:pPr>
        <w:rPr>
          <w:b/>
          <w:sz w:val="28"/>
        </w:rPr>
      </w:pPr>
      <w:r>
        <w:rPr>
          <w:sz w:val="28"/>
        </w:rPr>
        <w:t xml:space="preserve">d. realizowane na rzecz uczniów z doświadczeniem migracji (w tym repatriantów). </w:t>
      </w:r>
    </w:p>
    <w:p w:rsidR="00202C2D" w:rsidRDefault="004366E5">
      <w:pPr>
        <w:rPr>
          <w:b/>
          <w:sz w:val="28"/>
        </w:rPr>
      </w:pPr>
      <w:r>
        <w:rPr>
          <w:sz w:val="28"/>
        </w:rPr>
        <w:t>W zakresie edukacji włączającej:</w:t>
      </w:r>
    </w:p>
    <w:p w:rsidR="00202C2D" w:rsidRDefault="004366E5">
      <w:pPr>
        <w:rPr>
          <w:b/>
          <w:sz w:val="28"/>
        </w:rPr>
      </w:pPr>
      <w:r>
        <w:rPr>
          <w:sz w:val="28"/>
        </w:rPr>
        <w:t>a. realizowane we współpracy organów prowadzących z co najmniej jednym z następujących podmiotów: szkoły wyższe, organizacje pozarządowe, pracodawcy lub ich organizacje oraz inne instytucje działające na rzecz dziecka;</w:t>
      </w:r>
    </w:p>
    <w:p w:rsidR="00202C2D" w:rsidRDefault="004366E5">
      <w:pPr>
        <w:rPr>
          <w:b/>
          <w:sz w:val="28"/>
        </w:rPr>
      </w:pPr>
      <w:r>
        <w:rPr>
          <w:sz w:val="28"/>
        </w:rPr>
        <w:t>b. zdefiniowane w ramach koordynowanego przez Samorząd Województwa Pomorskiego przedsięwzięcia strategicznego wskazanego w Regionalnym Programie Strategicznym w zakresie edukacji i kapitału społecznego pn. „Pomorskie wsparcie edukacji włączającej”.</w:t>
      </w:r>
    </w:p>
    <w:p w:rsidR="00202C2D" w:rsidRDefault="004366E5">
      <w:pPr>
        <w:rPr>
          <w:b/>
          <w:sz w:val="28"/>
        </w:rPr>
      </w:pPr>
      <w:r>
        <w:rPr>
          <w:sz w:val="28"/>
        </w:rPr>
        <w:t>W zakresie edukacji zawodowej:</w:t>
      </w:r>
    </w:p>
    <w:p w:rsidR="00202C2D" w:rsidRDefault="004366E5">
      <w:pPr>
        <w:rPr>
          <w:b/>
          <w:sz w:val="28"/>
        </w:rPr>
      </w:pPr>
      <w:r>
        <w:rPr>
          <w:sz w:val="28"/>
        </w:rPr>
        <w:t>a. projekty zakładające współpracę międzynarodową lub transnarodową (jedynie w przypadku bezpośredniego wpływu tej współpracy na osiągnięcie rezultatów Celu);</w:t>
      </w:r>
    </w:p>
    <w:p w:rsidR="00202C2D" w:rsidRDefault="004366E5">
      <w:pPr>
        <w:rPr>
          <w:b/>
          <w:sz w:val="28"/>
        </w:rPr>
      </w:pPr>
      <w:r>
        <w:rPr>
          <w:sz w:val="28"/>
        </w:rP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95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202C2D" w:rsidRDefault="004366E5">
      <w:pPr>
        <w:rPr>
          <w:b/>
          <w:sz w:val="28"/>
        </w:rPr>
      </w:pPr>
      <w:r>
        <w:rPr>
          <w:b/>
          <w:sz w:val="28"/>
        </w:rPr>
        <w:t>Uproszczone metody rozliczania</w:t>
      </w:r>
    </w:p>
    <w:p w:rsidR="00202C2D" w:rsidRDefault="004366E5">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40</w:t>
      </w:r>
    </w:p>
    <w:p w:rsidR="00202C2D" w:rsidRDefault="004366E5">
      <w:pPr>
        <w:rPr>
          <w:b/>
          <w:sz w:val="28"/>
        </w:rPr>
      </w:pPr>
      <w:r>
        <w:rPr>
          <w:b/>
          <w:sz w:val="28"/>
        </w:rPr>
        <w:t>Minimalny wkład własny beneficjenta</w:t>
      </w:r>
    </w:p>
    <w:p w:rsidR="00202C2D" w:rsidRDefault="004366E5">
      <w:pPr>
        <w:rPr>
          <w:b/>
          <w:sz w:val="28"/>
        </w:rPr>
      </w:pPr>
      <w:r>
        <w:rPr>
          <w:sz w:val="28"/>
        </w:rPr>
        <w:lastRenderedPageBreak/>
        <w:t>5% w odniesieniu do typów projektów nr 4 i 5. 10% w odniesieniu do pozostałych typów projektów.</w:t>
      </w:r>
    </w:p>
    <w:p w:rsidR="00202C2D" w:rsidRDefault="004366E5">
      <w:pPr>
        <w:rPr>
          <w:b/>
          <w:sz w:val="28"/>
        </w:rPr>
      </w:pPr>
      <w:r>
        <w:rPr>
          <w:b/>
          <w:sz w:val="28"/>
        </w:rPr>
        <w:t>Sposób wyboru projektów</w:t>
      </w:r>
    </w:p>
    <w:p w:rsidR="00202C2D" w:rsidRDefault="004366E5">
      <w:pPr>
        <w:rPr>
          <w:b/>
          <w:sz w:val="28"/>
        </w:rPr>
      </w:pPr>
      <w:r>
        <w:rPr>
          <w:sz w:val="28"/>
        </w:rPr>
        <w:t>Konkurencyjny, Niekonkurencyjny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202C2D" w:rsidRDefault="004366E5">
      <w:pPr>
        <w:rPr>
          <w:b/>
          <w:sz w:val="28"/>
        </w:rPr>
      </w:pPr>
      <w:r>
        <w:rPr>
          <w:b/>
          <w:sz w:val="28"/>
        </w:rPr>
        <w:t>Grupa docelowa</w:t>
      </w:r>
    </w:p>
    <w:p w:rsidR="00202C2D" w:rsidRDefault="004366E5">
      <w:pPr>
        <w:rPr>
          <w:b/>
          <w:sz w:val="28"/>
        </w:rPr>
      </w:pPr>
      <w:r>
        <w:rPr>
          <w:sz w:val="28"/>
        </w:rP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202C2D" w:rsidRDefault="004366E5">
      <w:pPr>
        <w:rPr>
          <w:b/>
          <w:sz w:val="28"/>
        </w:rPr>
      </w:pPr>
      <w:r>
        <w:rPr>
          <w:b/>
          <w:sz w:val="28"/>
        </w:rPr>
        <w:t>Słowa kluczowe</w:t>
      </w:r>
    </w:p>
    <w:p w:rsidR="00202C2D" w:rsidRDefault="004366E5">
      <w:pPr>
        <w:rPr>
          <w:b/>
          <w:sz w:val="28"/>
        </w:rPr>
      </w:pPr>
      <w:r>
        <w:rPr>
          <w:sz w:val="28"/>
        </w:rPr>
        <w:t xml:space="preserve">edukacja, </w:t>
      </w: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kompetencje, </w:t>
      </w:r>
      <w:proofErr w:type="spellStart"/>
      <w:r>
        <w:rPr>
          <w:sz w:val="28"/>
        </w:rPr>
        <w:t>kompetencje_kluczowe</w:t>
      </w:r>
      <w:proofErr w:type="spellEnd"/>
      <w:r>
        <w:rPr>
          <w:sz w:val="28"/>
        </w:rPr>
        <w:t xml:space="preserve">, </w:t>
      </w:r>
      <w:proofErr w:type="spellStart"/>
      <w:r>
        <w:rPr>
          <w:sz w:val="28"/>
        </w:rPr>
        <w:t>poradnie_psychologiczno_pedagogiczne</w:t>
      </w:r>
      <w:proofErr w:type="spellEnd"/>
      <w:r>
        <w:rPr>
          <w:sz w:val="28"/>
        </w:rPr>
        <w:t xml:space="preserve">, staże, szkoła, szkolenia, </w:t>
      </w:r>
      <w:proofErr w:type="spellStart"/>
      <w:r>
        <w:rPr>
          <w:sz w:val="28"/>
        </w:rPr>
        <w:t>upskilling_pathways</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202C2D" w:rsidRDefault="004366E5">
      <w:pPr>
        <w:rPr>
          <w:b/>
          <w:sz w:val="28"/>
        </w:rPr>
      </w:pPr>
      <w:r>
        <w:rPr>
          <w:b/>
          <w:sz w:val="28"/>
        </w:rPr>
        <w:t>Wskaźniki produktu</w:t>
      </w:r>
    </w:p>
    <w:p w:rsidR="00202C2D" w:rsidRDefault="004366E5">
      <w:pPr>
        <w:rPr>
          <w:b/>
          <w:sz w:val="28"/>
        </w:rPr>
      </w:pPr>
      <w:r>
        <w:rPr>
          <w:sz w:val="28"/>
        </w:rPr>
        <w:lastRenderedPageBreak/>
        <w:t>WLWK-PLFCO09 - Liczba dzieci lub uczniów o specjalnych potrzebach rozwojowych i edukacyjnych, którzy zostali objęci usługami asystenta</w:t>
      </w:r>
    </w:p>
    <w:p w:rsidR="00202C2D" w:rsidRDefault="004366E5">
      <w:pPr>
        <w:rPr>
          <w:b/>
          <w:sz w:val="28"/>
        </w:rPr>
      </w:pPr>
      <w:r>
        <w:rPr>
          <w:sz w:val="28"/>
        </w:rPr>
        <w:t>WLWK-PLFCO08 - Liczba dzieci/uczniów o specjalnych potrzebach rozwojowych i edukacyjnych, objętych wsparciem</w:t>
      </w:r>
    </w:p>
    <w:p w:rsidR="00202C2D" w:rsidRDefault="004366E5">
      <w:pPr>
        <w:rPr>
          <w:b/>
          <w:sz w:val="28"/>
        </w:rPr>
      </w:pPr>
      <w:r>
        <w:rPr>
          <w:sz w:val="28"/>
        </w:rPr>
        <w:t>WLWK-PL0CO02 - Liczba obiektów dostosowanych do potrzeb osób z niepełnosprawnościami</w:t>
      </w:r>
    </w:p>
    <w:p w:rsidR="00202C2D" w:rsidRDefault="004366E5">
      <w:pPr>
        <w:rPr>
          <w:b/>
          <w:sz w:val="28"/>
        </w:rPr>
      </w:pPr>
      <w:r>
        <w:rPr>
          <w:sz w:val="28"/>
        </w:rPr>
        <w:t>WLWK-PLFCO10 - Liczba obiektów edukacyjnych dostosowanych do potrzeb osób z niepełnosprawnościami</w:t>
      </w:r>
    </w:p>
    <w:p w:rsidR="00202C2D" w:rsidRDefault="004366E5">
      <w:pPr>
        <w:rPr>
          <w:b/>
          <w:sz w:val="28"/>
        </w:rPr>
      </w:pPr>
      <w:r>
        <w:rPr>
          <w:sz w:val="28"/>
        </w:rPr>
        <w:t>WLWK-PLFCO12 - Liczba ogólnodostępnych szkół i placówek systemu oświaty objętych wsparciem w zakresie edukacji włączającej</w:t>
      </w:r>
    </w:p>
    <w:p w:rsidR="00202C2D" w:rsidRDefault="004366E5">
      <w:pPr>
        <w:rPr>
          <w:b/>
          <w:sz w:val="28"/>
        </w:rPr>
      </w:pPr>
      <w:r>
        <w:rPr>
          <w:sz w:val="28"/>
        </w:rPr>
        <w:t>WLWK-EECO15 - Liczba osób należących do mniejszości, w tym społeczności marginalizowanych takich jak Romowie, objętych wsparciem w programie</w:t>
      </w:r>
    </w:p>
    <w:p w:rsidR="00202C2D" w:rsidRDefault="004366E5">
      <w:pPr>
        <w:rPr>
          <w:b/>
          <w:sz w:val="28"/>
        </w:rPr>
      </w:pPr>
      <w:r>
        <w:rPr>
          <w:sz w:val="28"/>
        </w:rPr>
        <w:t>WLWK-EECO14 - Liczba osób obcego pochodzenia objętych wsparciem w programie</w:t>
      </w:r>
    </w:p>
    <w:p w:rsidR="00202C2D" w:rsidRDefault="004366E5">
      <w:pPr>
        <w:rPr>
          <w:b/>
          <w:sz w:val="28"/>
        </w:rPr>
      </w:pPr>
      <w:r>
        <w:rPr>
          <w:sz w:val="28"/>
        </w:rPr>
        <w:t>WLWK-EECO16 - Liczba osób w kryzysie bezdomności lub dotkniętych wykluczeniem z dostępu do mieszkań, objętych wsparciem w programie</w:t>
      </w:r>
    </w:p>
    <w:p w:rsidR="00202C2D" w:rsidRDefault="004366E5">
      <w:pPr>
        <w:rPr>
          <w:b/>
          <w:sz w:val="28"/>
        </w:rPr>
      </w:pPr>
      <w:r>
        <w:rPr>
          <w:sz w:val="28"/>
        </w:rPr>
        <w:t>WLWK-EECO13 - Liczba osób z krajów trzecich objętych wsparciem w programie</w:t>
      </w:r>
    </w:p>
    <w:p w:rsidR="00202C2D" w:rsidRDefault="004366E5">
      <w:pPr>
        <w:rPr>
          <w:b/>
          <w:sz w:val="28"/>
        </w:rPr>
      </w:pPr>
      <w:r>
        <w:rPr>
          <w:sz w:val="28"/>
        </w:rPr>
        <w:t>WLWK-EECO12 - Liczba osób z niepełnosprawnościami objętych wsparciem w programie</w:t>
      </w:r>
    </w:p>
    <w:p w:rsidR="00202C2D" w:rsidRDefault="004366E5">
      <w:pPr>
        <w:rPr>
          <w:b/>
          <w:sz w:val="28"/>
        </w:rPr>
      </w:pPr>
      <w:r>
        <w:rPr>
          <w:sz w:val="28"/>
        </w:rPr>
        <w:t>WLWK-PL0CO01 - Liczba projektów, w których sfinansowano koszty racjonalnych usprawnień dla osób z niepełnosprawnościami</w:t>
      </w:r>
    </w:p>
    <w:p w:rsidR="00202C2D" w:rsidRDefault="004366E5">
      <w:pPr>
        <w:rPr>
          <w:b/>
          <w:sz w:val="28"/>
        </w:rPr>
      </w:pPr>
      <w:r>
        <w:rPr>
          <w:sz w:val="28"/>
        </w:rPr>
        <w:t>WLWK-PLFCO14 - Liczba przedstawicieli kadr szkół i placówek systemu oświaty objętych wsparciem świadczonym przez szkoły ćwiczeń</w:t>
      </w:r>
    </w:p>
    <w:p w:rsidR="00202C2D" w:rsidRDefault="004366E5">
      <w:pPr>
        <w:rPr>
          <w:b/>
          <w:sz w:val="28"/>
        </w:rPr>
      </w:pPr>
      <w:r>
        <w:rPr>
          <w:sz w:val="28"/>
        </w:rPr>
        <w:t>WLWK-PLFCO06 - Liczba przedstawicieli kadry szkół i placówek systemu oświaty objętych wsparciem</w:t>
      </w:r>
    </w:p>
    <w:p w:rsidR="00202C2D" w:rsidRDefault="004366E5">
      <w:pPr>
        <w:rPr>
          <w:b/>
          <w:sz w:val="28"/>
        </w:rPr>
      </w:pPr>
      <w:r>
        <w:rPr>
          <w:sz w:val="28"/>
        </w:rPr>
        <w:t>WLWK-PLFCO07 - Liczba szkół i placówek systemu oświaty objętych wsparciem</w:t>
      </w:r>
    </w:p>
    <w:p w:rsidR="00202C2D" w:rsidRDefault="004366E5">
      <w:pPr>
        <w:rPr>
          <w:b/>
          <w:sz w:val="28"/>
        </w:rPr>
      </w:pPr>
      <w:r>
        <w:rPr>
          <w:sz w:val="28"/>
        </w:rPr>
        <w:lastRenderedPageBreak/>
        <w:t>WLWK-PLFCO04 - Liczba uczniów i słuchaczy szkół i placówek kształcenia zawodowego objętych wsparciem</w:t>
      </w:r>
    </w:p>
    <w:p w:rsidR="00202C2D" w:rsidRDefault="004366E5">
      <w:pPr>
        <w:rPr>
          <w:b/>
          <w:sz w:val="28"/>
        </w:rPr>
      </w:pPr>
      <w:r>
        <w:rPr>
          <w:sz w:val="28"/>
        </w:rPr>
        <w:t>WLWK-PLEFCO05 - Liczba uczniów szkół i placówek kształcenia zawodowego uczestniczących w stażach uczniowskich</w:t>
      </w:r>
    </w:p>
    <w:p w:rsidR="00202C2D" w:rsidRDefault="004366E5">
      <w:pPr>
        <w:rPr>
          <w:b/>
          <w:sz w:val="28"/>
        </w:rPr>
      </w:pPr>
      <w:r>
        <w:rPr>
          <w:sz w:val="28"/>
        </w:rPr>
        <w:t>WLWK-PLFCO03 - Liczba uczniów szkół i placówek systemu oświaty prowadzących kształcenie ogólne objętych wsparciem</w:t>
      </w:r>
    </w:p>
    <w:p w:rsidR="00202C2D" w:rsidRDefault="004366E5">
      <w:pPr>
        <w:rPr>
          <w:b/>
          <w:sz w:val="28"/>
        </w:rPr>
      </w:pPr>
      <w:r>
        <w:rPr>
          <w:sz w:val="28"/>
        </w:rPr>
        <w:t>WLWK-PLFCO13 - Liczba uczniów uczestniczących w doradztwie zawodowym</w:t>
      </w:r>
    </w:p>
    <w:p w:rsidR="00202C2D" w:rsidRDefault="004366E5">
      <w:pPr>
        <w:rPr>
          <w:b/>
          <w:sz w:val="28"/>
        </w:rPr>
      </w:pPr>
      <w:r>
        <w:rPr>
          <w:sz w:val="28"/>
        </w:rPr>
        <w:t>WLWK-PL0CO10 - Wartość wydatków kwalifikowalnych przeznaczonych na realizację gwarancji dla młodzieży</w:t>
      </w:r>
    </w:p>
    <w:p w:rsidR="00202C2D" w:rsidRDefault="004366E5">
      <w:pPr>
        <w:rPr>
          <w:b/>
          <w:sz w:val="28"/>
        </w:rPr>
      </w:pPr>
      <w:r>
        <w:rPr>
          <w:sz w:val="28"/>
        </w:rPr>
        <w:t>PROG-FEPM-EFS-003 - Wartość wydatków kwalifikowalnych przyczyniających się do ekologicznych umiejętności i zielonych miejsc pracy oraz zielonej gospodarki</w:t>
      </w:r>
    </w:p>
    <w:p w:rsidR="00202C2D" w:rsidRDefault="004366E5">
      <w:pPr>
        <w:rPr>
          <w:b/>
          <w:sz w:val="28"/>
        </w:rPr>
      </w:pPr>
      <w:r>
        <w:rPr>
          <w:b/>
          <w:sz w:val="28"/>
        </w:rPr>
        <w:t>Wskaźniki rezultatu</w:t>
      </w:r>
    </w:p>
    <w:p w:rsidR="00202C2D" w:rsidRDefault="004366E5">
      <w:pPr>
        <w:rPr>
          <w:b/>
          <w:sz w:val="28"/>
        </w:rPr>
      </w:pPr>
      <w:r>
        <w:rPr>
          <w:sz w:val="28"/>
        </w:rPr>
        <w:t>WLWK-PLFCR02 - Liczba przedstawicieli kadry szkół i placówek systemu oświaty, którzy uzyskali kwalifikacje po opuszczeniu programu</w:t>
      </w:r>
    </w:p>
    <w:p w:rsidR="00202C2D" w:rsidRDefault="004366E5">
      <w:pPr>
        <w:rPr>
          <w:b/>
          <w:sz w:val="28"/>
        </w:rPr>
      </w:pPr>
      <w:r>
        <w:rPr>
          <w:sz w:val="28"/>
        </w:rPr>
        <w:t>WLWK-PLFCR01 - Liczba uczniów, którzy nabyli kwalifikacje po opuszczeniu programu</w:t>
      </w:r>
    </w:p>
    <w:p w:rsidR="00202C2D" w:rsidRDefault="00202C2D">
      <w:pPr>
        <w:rPr>
          <w:b/>
          <w:sz w:val="28"/>
        </w:rPr>
      </w:pPr>
    </w:p>
    <w:p w:rsidR="00202C2D" w:rsidRDefault="004366E5">
      <w:pPr>
        <w:pStyle w:val="Nagwek3"/>
        <w:rPr>
          <w:rFonts w:ascii="Calibri" w:hAnsi="Calibri" w:cs="Calibri"/>
          <w:sz w:val="32"/>
        </w:rPr>
      </w:pPr>
      <w:bookmarkStart w:id="18" w:name="_Toc132714003"/>
      <w:r>
        <w:rPr>
          <w:rFonts w:ascii="Calibri" w:hAnsi="Calibri" w:cs="Calibri"/>
          <w:sz w:val="32"/>
        </w:rPr>
        <w:t>Działanie FEPM.05.11 Aktywne włączenie społeczne</w:t>
      </w:r>
      <w:bookmarkEnd w:id="18"/>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rsidR="00202C2D" w:rsidRDefault="004366E5">
      <w:pPr>
        <w:rPr>
          <w:b/>
          <w:sz w:val="28"/>
        </w:rPr>
      </w:pPr>
      <w:r>
        <w:rPr>
          <w:b/>
          <w:sz w:val="28"/>
        </w:rPr>
        <w:t>Wysokość alokacji UE (EUR)</w:t>
      </w:r>
    </w:p>
    <w:p w:rsidR="00202C2D" w:rsidRDefault="004366E5">
      <w:pPr>
        <w:rPr>
          <w:b/>
          <w:sz w:val="28"/>
        </w:rPr>
      </w:pPr>
      <w:r>
        <w:rPr>
          <w:sz w:val="28"/>
        </w:rPr>
        <w:t>20 581 573,00</w:t>
      </w:r>
    </w:p>
    <w:p w:rsidR="00202C2D" w:rsidRDefault="004366E5">
      <w:pPr>
        <w:rPr>
          <w:b/>
          <w:sz w:val="28"/>
        </w:rPr>
      </w:pPr>
      <w:r>
        <w:rPr>
          <w:b/>
          <w:sz w:val="28"/>
        </w:rPr>
        <w:lastRenderedPageBreak/>
        <w:t>Zakres interwencji</w:t>
      </w:r>
    </w:p>
    <w:p w:rsidR="00202C2D" w:rsidRDefault="004366E5">
      <w:pPr>
        <w:rPr>
          <w:b/>
          <w:sz w:val="28"/>
        </w:rPr>
      </w:pPr>
      <w:r>
        <w:rPr>
          <w:sz w:val="28"/>
        </w:rPr>
        <w:t>152 - Działania na rzecz promowania równości szans i aktywnego udziału w życiu społecznym, 153 - Metody integracji z rynkiem pracy oraz powrotu na rynek pracy osób znajdujących się w niekorzystnej sytuacji</w:t>
      </w:r>
    </w:p>
    <w:p w:rsidR="00202C2D" w:rsidRDefault="004366E5">
      <w:pPr>
        <w:rPr>
          <w:b/>
          <w:sz w:val="28"/>
        </w:rPr>
      </w:pPr>
      <w:r>
        <w:rPr>
          <w:b/>
          <w:sz w:val="28"/>
        </w:rPr>
        <w:t>Opis działania</w:t>
      </w:r>
    </w:p>
    <w:p w:rsidR="00202C2D" w:rsidRDefault="004366E5">
      <w:pPr>
        <w:rPr>
          <w:b/>
          <w:sz w:val="28"/>
        </w:rPr>
      </w:pPr>
      <w:r>
        <w:rPr>
          <w:sz w:val="28"/>
        </w:rP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p>
    <w:p w:rsidR="00202C2D" w:rsidRDefault="004366E5">
      <w:pPr>
        <w:rPr>
          <w:b/>
          <w:sz w:val="28"/>
        </w:rPr>
      </w:pPr>
      <w:r>
        <w:rPr>
          <w:sz w:val="28"/>
        </w:rPr>
        <w:t xml:space="preserve">Typy projektów: </w:t>
      </w:r>
    </w:p>
    <w:p w:rsidR="00202C2D" w:rsidRDefault="004366E5">
      <w:pPr>
        <w:rPr>
          <w:b/>
          <w:sz w:val="28"/>
        </w:rPr>
      </w:pPr>
      <w:r>
        <w:rPr>
          <w:sz w:val="28"/>
        </w:rPr>
        <w:t xml:space="preserve">1. Wdrażanie kompleksowych programów aktywizacji społeczno-zawodowej skierowanych do osób, rodzin i społeczności zagrożonych ubóstwem lub wykluczeniem społecznym oraz ich otoczenia, w szczególności poprzez:   </w:t>
      </w:r>
    </w:p>
    <w:p w:rsidR="00202C2D" w:rsidRDefault="004366E5">
      <w:pPr>
        <w:rPr>
          <w:b/>
          <w:sz w:val="28"/>
        </w:rPr>
      </w:pPr>
      <w:r>
        <w:rPr>
          <w:sz w:val="28"/>
        </w:rPr>
        <w:t>a. usługi aktywnej integracji o charakterze społecznym, których celem jest nabycie, przywrócenie lub wzmocnienie kompetencji społecznych, zaradności, samodzielności i aktywności;</w:t>
      </w:r>
    </w:p>
    <w:p w:rsidR="00202C2D" w:rsidRDefault="004366E5">
      <w:pPr>
        <w:rPr>
          <w:b/>
          <w:sz w:val="28"/>
        </w:rPr>
      </w:pPr>
      <w:r>
        <w:rPr>
          <w:sz w:val="28"/>
        </w:rPr>
        <w:t>b. usługi aktywnej integracji o charakterze zawodowym, których celem jest pomoc w podjęciu decyzji dotyczącej wyboru lub zmiany zawodu, pomoc w utrzymaniu zatrudnienia, wyposażenie w kompetencje i kwalifikacje zawodowe oraz umiejętności pożądane na rynku pracy;</w:t>
      </w:r>
    </w:p>
    <w:p w:rsidR="00202C2D" w:rsidRDefault="004366E5">
      <w:pPr>
        <w:rPr>
          <w:b/>
          <w:sz w:val="28"/>
        </w:rPr>
      </w:pPr>
      <w:r>
        <w:rPr>
          <w:sz w:val="28"/>
        </w:rPr>
        <w:lastRenderedPageBreak/>
        <w:t>c. usługi aktywnej integracji o charakterze  edukacyjnym, których celem jest nabycie lub potwierdzenie kompetencji ogólnych lub zawodowych dostosowanych do potrzeb rynku pracy, prowadzące do uzyskania kwalifikacji (m.in. w ramach edukacji formalnej);</w:t>
      </w:r>
    </w:p>
    <w:p w:rsidR="00202C2D" w:rsidRDefault="004366E5">
      <w:pPr>
        <w:rPr>
          <w:b/>
          <w:sz w:val="28"/>
        </w:rPr>
      </w:pPr>
      <w:r>
        <w:rPr>
          <w:sz w:val="28"/>
        </w:rPr>
        <w:t>d. usługi aktywnej integracji o charakterze zdrowotnym, których celem jest wyeliminowanie lub złagodzenie barier zdrowotnych utrudniających funkcjonowanie w społeczeństwie lub powodujących oddalenie od rynku pracy;</w:t>
      </w:r>
    </w:p>
    <w:p w:rsidR="00202C2D" w:rsidRDefault="004366E5">
      <w:pPr>
        <w:rPr>
          <w:b/>
          <w:sz w:val="28"/>
        </w:rPr>
      </w:pPr>
      <w:r>
        <w:rPr>
          <w:sz w:val="28"/>
        </w:rP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p>
    <w:p w:rsidR="00202C2D" w:rsidRDefault="004366E5">
      <w:pPr>
        <w:rPr>
          <w:b/>
          <w:sz w:val="28"/>
        </w:rPr>
      </w:pPr>
      <w:r>
        <w:rPr>
          <w:sz w:val="28"/>
        </w:rPr>
        <w:t xml:space="preserve">2. Kompleksowe wsparcie aktywizacji </w:t>
      </w:r>
      <w:proofErr w:type="spellStart"/>
      <w:r>
        <w:rPr>
          <w:sz w:val="28"/>
        </w:rPr>
        <w:t>społeczno</w:t>
      </w:r>
      <w:proofErr w:type="spellEnd"/>
      <w:r>
        <w:rPr>
          <w:sz w:val="28"/>
        </w:rPr>
        <w:t>–zawodowej za pośrednictwem podmiotów zatrudnienia socjalnego (centrów integracji społecznej (CIS) i klubów integracji społecznej (KIS)), warsztatów terapii zajęciowej (WTZ) i zakładów aktywności zawodowej (ZAZ) oraz Środowiskowych Domów Samopomocy (ŚDS) poprzez:</w:t>
      </w:r>
    </w:p>
    <w:p w:rsidR="00202C2D" w:rsidRDefault="004366E5">
      <w:pPr>
        <w:rPr>
          <w:b/>
          <w:sz w:val="28"/>
        </w:rPr>
      </w:pPr>
      <w:r>
        <w:rPr>
          <w:sz w:val="28"/>
        </w:rPr>
        <w:t>a. tworzenie nowych podmiotów;</w:t>
      </w:r>
    </w:p>
    <w:p w:rsidR="00202C2D" w:rsidRDefault="004366E5">
      <w:pPr>
        <w:rPr>
          <w:b/>
          <w:sz w:val="28"/>
        </w:rPr>
      </w:pPr>
      <w:r>
        <w:rPr>
          <w:sz w:val="28"/>
        </w:rPr>
        <w:t>b. wsparcie istniejących podmiotów i ich uczestników poprzez realizację działań wymienionych w 1. typie projektów.</w:t>
      </w:r>
    </w:p>
    <w:p w:rsidR="00202C2D" w:rsidRDefault="004366E5">
      <w:pPr>
        <w:rPr>
          <w:b/>
          <w:sz w:val="28"/>
        </w:rPr>
      </w:pPr>
      <w:r>
        <w:rPr>
          <w:sz w:val="28"/>
        </w:rPr>
        <w:t>3. Budowa regionalnego systemu wsparcia oraz rozwoju aktywności zawodowej i społecznej seniorów, w tym tworzenie warunków do kontynuowania aktywności zawodowej seniorów.</w:t>
      </w:r>
    </w:p>
    <w:p w:rsidR="00202C2D" w:rsidRDefault="004366E5">
      <w:pPr>
        <w:rPr>
          <w:b/>
          <w:sz w:val="28"/>
        </w:rPr>
      </w:pPr>
      <w:r>
        <w:rPr>
          <w:sz w:val="28"/>
        </w:rPr>
        <w:t>4. Programy służące podnoszeniu wiedzy i świadomości wszystkich mieszkańców województwa w obszarze aktywności obywatelskiej, różnorodności kulturowej oraz równego traktowania i niedyskryminacji (w tym m.in. niedyskryminacji osób LGBT+).</w:t>
      </w:r>
    </w:p>
    <w:p w:rsidR="00202C2D" w:rsidRDefault="004366E5">
      <w:pPr>
        <w:rPr>
          <w:b/>
          <w:sz w:val="28"/>
        </w:rPr>
      </w:pPr>
      <w:r>
        <w:rPr>
          <w:sz w:val="28"/>
        </w:rPr>
        <w:t xml:space="preserve">Najważniejsze warunki realizacji projektów: </w:t>
      </w:r>
    </w:p>
    <w:p w:rsidR="00202C2D" w:rsidRDefault="004366E5">
      <w:pPr>
        <w:rPr>
          <w:b/>
          <w:sz w:val="28"/>
        </w:rPr>
      </w:pPr>
      <w:r>
        <w:rPr>
          <w:sz w:val="28"/>
        </w:rPr>
        <w:lastRenderedPageBreak/>
        <w:t>1. Wsparcie WTZ/ZAZ udzielanie będzie pod warunkiem zdiagnozowania na poziomie lokalnym potrzeby zastosowania tej formy wsparcia.</w:t>
      </w:r>
    </w:p>
    <w:p w:rsidR="00202C2D" w:rsidRDefault="004366E5">
      <w:pPr>
        <w:rPr>
          <w:b/>
          <w:sz w:val="28"/>
        </w:rPr>
      </w:pPr>
      <w:r>
        <w:rPr>
          <w:sz w:val="28"/>
        </w:rP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p>
    <w:p w:rsidR="00202C2D" w:rsidRDefault="004366E5">
      <w:pPr>
        <w:rPr>
          <w:b/>
          <w:sz w:val="28"/>
        </w:rPr>
      </w:pPr>
      <w:r>
        <w:rPr>
          <w:sz w:val="28"/>
        </w:rPr>
        <w:t>3. Dopuszczalny poziom cross-</w:t>
      </w:r>
      <w:proofErr w:type="spellStart"/>
      <w:r>
        <w:rPr>
          <w:sz w:val="28"/>
        </w:rPr>
        <w:t>financingu</w:t>
      </w:r>
      <w:proofErr w:type="spellEnd"/>
      <w:r>
        <w:rPr>
          <w:sz w:val="28"/>
        </w:rPr>
        <w:t xml:space="preserve"> każdorazowo uzależniony będzie od decyzji IZ FEP i zostanie wskazany w regulaminie wyboru projektów.</w:t>
      </w:r>
    </w:p>
    <w:p w:rsidR="00202C2D" w:rsidRDefault="004366E5">
      <w:pPr>
        <w:rPr>
          <w:b/>
          <w:sz w:val="28"/>
        </w:rPr>
      </w:pPr>
      <w:r>
        <w:rPr>
          <w:sz w:val="28"/>
        </w:rPr>
        <w:t>4. Interwencja w ramach typu projektu nr 4 obejmuje przedsięwzięcie koordynowane przez Samorząd Województwa Pomorskiego (SWP), a w ramach typu nr 3 wyłącznie przedsięwzięcie realizowane bezpośrednio przez SWP.</w:t>
      </w:r>
    </w:p>
    <w:p w:rsidR="00202C2D" w:rsidRDefault="004366E5">
      <w:pPr>
        <w:rPr>
          <w:b/>
          <w:sz w:val="28"/>
        </w:rPr>
      </w:pPr>
      <w:r>
        <w:rPr>
          <w:sz w:val="28"/>
        </w:rPr>
        <w:t xml:space="preserve">Ukierunkowanie terytorialne: </w:t>
      </w:r>
    </w:p>
    <w:p w:rsidR="00202C2D" w:rsidRDefault="004366E5">
      <w:pPr>
        <w:rPr>
          <w:b/>
          <w:sz w:val="28"/>
        </w:rPr>
      </w:pPr>
      <w:r>
        <w:rPr>
          <w:sz w:val="28"/>
        </w:rP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rsidR="00202C2D" w:rsidRDefault="004366E5">
      <w:pPr>
        <w:rPr>
          <w:b/>
          <w:sz w:val="28"/>
        </w:rPr>
      </w:pPr>
      <w:r>
        <w:rPr>
          <w:sz w:val="28"/>
        </w:rPr>
        <w:t>W pozostałym zakresie interwencja będzie prowadzona na terenie całego województwa.</w:t>
      </w:r>
    </w:p>
    <w:p w:rsidR="00202C2D" w:rsidRDefault="004366E5">
      <w:pPr>
        <w:rPr>
          <w:b/>
          <w:sz w:val="28"/>
        </w:rPr>
      </w:pPr>
      <w:r>
        <w:rPr>
          <w:sz w:val="28"/>
        </w:rPr>
        <w:t xml:space="preserve">Preferowane zgodnie z Programem będą projekty: </w:t>
      </w:r>
    </w:p>
    <w:p w:rsidR="00202C2D" w:rsidRDefault="004366E5">
      <w:pPr>
        <w:rPr>
          <w:b/>
          <w:sz w:val="28"/>
        </w:rPr>
      </w:pPr>
      <w:r>
        <w:rPr>
          <w:sz w:val="28"/>
        </w:rPr>
        <w:t>1. realizowane w partnerstwie JST z instytucjami rynku pracy i/lub organizacjami pozarządowymi/podmiotami ekonomii społecznej/przedsiębiorstwami społecznymi;</w:t>
      </w:r>
    </w:p>
    <w:p w:rsidR="00202C2D" w:rsidRDefault="004366E5">
      <w:pPr>
        <w:rPr>
          <w:b/>
          <w:sz w:val="28"/>
        </w:rPr>
      </w:pPr>
      <w:r>
        <w:rPr>
          <w:sz w:val="28"/>
        </w:rPr>
        <w:t>2. realizowane w partnerstwie z pracodawcami lub organizacjami pracodawców;</w:t>
      </w:r>
    </w:p>
    <w:p w:rsidR="00202C2D" w:rsidRDefault="004366E5">
      <w:pPr>
        <w:rPr>
          <w:b/>
          <w:sz w:val="28"/>
        </w:rPr>
      </w:pPr>
      <w:r>
        <w:rPr>
          <w:sz w:val="28"/>
        </w:rPr>
        <w:t>3. prowadzące do zatrudnienia w podmiotach ekonomii społecznej/przedsiębiorstwach społecznych;</w:t>
      </w:r>
    </w:p>
    <w:p w:rsidR="00202C2D" w:rsidRDefault="004366E5">
      <w:pPr>
        <w:rPr>
          <w:b/>
          <w:sz w:val="28"/>
        </w:rPr>
      </w:pPr>
      <w:r>
        <w:rPr>
          <w:sz w:val="28"/>
        </w:rPr>
        <w:lastRenderedPageBreak/>
        <w:t>4. wykorzystujące animację środowiskową i wolontariat.</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95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202C2D" w:rsidRDefault="004366E5">
      <w:pPr>
        <w:rPr>
          <w:b/>
          <w:sz w:val="28"/>
        </w:rPr>
      </w:pPr>
      <w:r>
        <w:rPr>
          <w:b/>
          <w:sz w:val="28"/>
        </w:rPr>
        <w:t>Uproszczone metody rozliczania</w:t>
      </w:r>
    </w:p>
    <w:p w:rsidR="00202C2D" w:rsidRDefault="004366E5">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40</w:t>
      </w:r>
    </w:p>
    <w:p w:rsidR="00202C2D" w:rsidRDefault="004366E5">
      <w:pPr>
        <w:rPr>
          <w:b/>
          <w:sz w:val="28"/>
        </w:rPr>
      </w:pPr>
      <w:r>
        <w:rPr>
          <w:b/>
          <w:sz w:val="28"/>
        </w:rPr>
        <w:lastRenderedPageBreak/>
        <w:t>Minimalny wkład własny beneficjenta</w:t>
      </w:r>
    </w:p>
    <w:p w:rsidR="00202C2D" w:rsidRDefault="004366E5">
      <w:pPr>
        <w:rPr>
          <w:b/>
          <w:sz w:val="28"/>
        </w:rPr>
      </w:pPr>
      <w:r>
        <w:rPr>
          <w:sz w:val="28"/>
        </w:rPr>
        <w:t>5%</w:t>
      </w:r>
    </w:p>
    <w:p w:rsidR="00202C2D" w:rsidRDefault="004366E5">
      <w:pPr>
        <w:rPr>
          <w:b/>
          <w:sz w:val="28"/>
        </w:rPr>
      </w:pPr>
      <w:r>
        <w:rPr>
          <w:b/>
          <w:sz w:val="28"/>
        </w:rPr>
        <w:t>Sposób wyboru projektów</w:t>
      </w:r>
    </w:p>
    <w:p w:rsidR="00202C2D" w:rsidRDefault="004366E5">
      <w:pPr>
        <w:rPr>
          <w:b/>
          <w:sz w:val="28"/>
        </w:rPr>
      </w:pPr>
      <w:r>
        <w:rPr>
          <w:sz w:val="28"/>
        </w:rPr>
        <w:t>Konkurencyjny, Niekonkurencyjny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02C2D" w:rsidRDefault="004366E5">
      <w:pPr>
        <w:rPr>
          <w:b/>
          <w:sz w:val="28"/>
        </w:rPr>
      </w:pPr>
      <w:r>
        <w:rPr>
          <w:b/>
          <w:sz w:val="28"/>
        </w:rPr>
        <w:t>Grupa docelowa</w:t>
      </w:r>
    </w:p>
    <w:p w:rsidR="00202C2D" w:rsidRDefault="004366E5">
      <w:pPr>
        <w:rPr>
          <w:b/>
          <w:sz w:val="28"/>
        </w:rPr>
      </w:pPr>
      <w:r>
        <w:rPr>
          <w:sz w:val="28"/>
        </w:rP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202C2D" w:rsidRDefault="004366E5">
      <w:pPr>
        <w:rPr>
          <w:b/>
          <w:sz w:val="28"/>
        </w:rPr>
      </w:pPr>
      <w:r>
        <w:rPr>
          <w:b/>
          <w:sz w:val="28"/>
        </w:rPr>
        <w:t>Słowa kluczowe</w:t>
      </w:r>
    </w:p>
    <w:p w:rsidR="00202C2D" w:rsidRDefault="004366E5">
      <w:pPr>
        <w:rPr>
          <w:b/>
          <w:sz w:val="28"/>
        </w:rPr>
      </w:pP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centra_integracji_społecznej_CIS</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kluby_integracji_społecznej_KIS</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osoby_z_niepełnosprawnościami</w:t>
      </w:r>
      <w:proofErr w:type="spellEnd"/>
      <w:r>
        <w:rPr>
          <w:sz w:val="28"/>
        </w:rPr>
        <w:t xml:space="preserve">, </w:t>
      </w:r>
      <w:proofErr w:type="spellStart"/>
      <w:r>
        <w:rPr>
          <w:sz w:val="28"/>
        </w:rPr>
        <w:t>włączenie_społeczne</w:t>
      </w:r>
      <w:proofErr w:type="spellEnd"/>
      <w:r>
        <w:rPr>
          <w:sz w:val="28"/>
        </w:rPr>
        <w:t xml:space="preserve">, </w:t>
      </w:r>
      <w:proofErr w:type="spellStart"/>
      <w:r>
        <w:rPr>
          <w:sz w:val="28"/>
        </w:rPr>
        <w:t>zakłady_aktywności_zawodowej_ZAZ</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Nie dotyczy,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202C2D" w:rsidRDefault="004366E5">
      <w:pPr>
        <w:rPr>
          <w:b/>
          <w:sz w:val="28"/>
        </w:rPr>
      </w:pPr>
      <w:r>
        <w:rPr>
          <w:b/>
          <w:sz w:val="28"/>
        </w:rPr>
        <w:t>Wskaźniki produktu</w:t>
      </w:r>
    </w:p>
    <w:p w:rsidR="00202C2D" w:rsidRDefault="004366E5">
      <w:pPr>
        <w:rPr>
          <w:b/>
          <w:sz w:val="28"/>
        </w:rPr>
      </w:pPr>
      <w:r>
        <w:rPr>
          <w:sz w:val="28"/>
        </w:rPr>
        <w:lastRenderedPageBreak/>
        <w:t>WLWK-PL0CO02 - Liczba obiektów dostosowanych do potrzeb osób z niepełnosprawnościami</w:t>
      </w:r>
    </w:p>
    <w:p w:rsidR="00202C2D" w:rsidRDefault="004366E5">
      <w:pPr>
        <w:rPr>
          <w:b/>
          <w:sz w:val="28"/>
        </w:rPr>
      </w:pPr>
      <w:r>
        <w:rPr>
          <w:sz w:val="28"/>
        </w:rPr>
        <w:t>WLWK-EECO19 - Liczba objętych wsparciem mikro-, małych i średnich przedsiębiorstw (w tym spółdzielni i przedsiębiorstw społecznych)</w:t>
      </w:r>
    </w:p>
    <w:p w:rsidR="00202C2D" w:rsidRDefault="004366E5">
      <w:pPr>
        <w:rPr>
          <w:b/>
          <w:sz w:val="28"/>
        </w:rPr>
      </w:pPr>
      <w:r>
        <w:rPr>
          <w:sz w:val="28"/>
        </w:rPr>
        <w:t>WLWK-EECO18 - Liczba objętych wsparciem podmiotów administracji publicznej lub służb publicznych na szczeblu krajowym, regionalnym lub lokalnym</w:t>
      </w:r>
    </w:p>
    <w:p w:rsidR="00202C2D" w:rsidRDefault="004366E5">
      <w:pPr>
        <w:rPr>
          <w:b/>
          <w:sz w:val="28"/>
        </w:rPr>
      </w:pPr>
      <w:r>
        <w:rPr>
          <w:sz w:val="28"/>
        </w:rPr>
        <w:t>WLWK-EECO02 - Liczba osób bezrobotnych, w tym długotrwale bezrobotnych, objętych wsparciem w programie</w:t>
      </w:r>
    </w:p>
    <w:p w:rsidR="00202C2D" w:rsidRDefault="004366E5">
      <w:pPr>
        <w:rPr>
          <w:b/>
          <w:sz w:val="28"/>
        </w:rPr>
      </w:pPr>
      <w:r>
        <w:rPr>
          <w:sz w:val="28"/>
        </w:rPr>
        <w:t>WLWK-EECO04 - Liczba osób biernych zawodowo objętych wsparciem w programie</w:t>
      </w:r>
    </w:p>
    <w:p w:rsidR="00202C2D" w:rsidRDefault="004366E5">
      <w:pPr>
        <w:rPr>
          <w:b/>
          <w:sz w:val="28"/>
        </w:rPr>
      </w:pPr>
      <w:r>
        <w:rPr>
          <w:sz w:val="28"/>
        </w:rPr>
        <w:t>WLWK-EECO03 - Liczba osób długotrwale bezrobotnych objętych wsparciem w programie</w:t>
      </w:r>
    </w:p>
    <w:p w:rsidR="00202C2D" w:rsidRDefault="004366E5">
      <w:pPr>
        <w:rPr>
          <w:b/>
          <w:sz w:val="28"/>
        </w:rPr>
      </w:pPr>
      <w:r>
        <w:rPr>
          <w:sz w:val="28"/>
        </w:rPr>
        <w:t>WLWK-EECO15 - Liczba osób należących do mniejszości, w tym społeczności marginalizowanych takich jak Romowie, objętych wsparciem w programie</w:t>
      </w:r>
    </w:p>
    <w:p w:rsidR="00202C2D" w:rsidRDefault="004366E5">
      <w:pPr>
        <w:rPr>
          <w:b/>
          <w:sz w:val="28"/>
        </w:rPr>
      </w:pPr>
      <w:r>
        <w:rPr>
          <w:sz w:val="28"/>
        </w:rPr>
        <w:t>WLWK-EECO14 - Liczba osób obcego pochodzenia objętych wsparciem w programie</w:t>
      </w:r>
    </w:p>
    <w:p w:rsidR="00202C2D" w:rsidRDefault="004366E5">
      <w:pPr>
        <w:rPr>
          <w:b/>
          <w:sz w:val="28"/>
        </w:rPr>
      </w:pPr>
      <w:r>
        <w:rPr>
          <w:sz w:val="28"/>
        </w:rPr>
        <w:t>WLWK-EECO16 - Liczba osób w kryzysie bezdomności lub dotkniętych wykluczeniem z dostępu do mieszkań, objętych wsparciem w programie</w:t>
      </w:r>
    </w:p>
    <w:p w:rsidR="00202C2D" w:rsidRDefault="004366E5">
      <w:pPr>
        <w:rPr>
          <w:b/>
          <w:sz w:val="28"/>
        </w:rPr>
      </w:pPr>
      <w:r>
        <w:rPr>
          <w:sz w:val="28"/>
        </w:rPr>
        <w:t>WLWK-EECO13 - Liczba osób z krajów trzecich objętych wsparciem w programie</w:t>
      </w:r>
    </w:p>
    <w:p w:rsidR="00202C2D" w:rsidRDefault="004366E5">
      <w:pPr>
        <w:rPr>
          <w:b/>
          <w:sz w:val="28"/>
        </w:rPr>
      </w:pPr>
      <w:r>
        <w:rPr>
          <w:sz w:val="28"/>
        </w:rPr>
        <w:t>WLWK-EECO12 - Liczba osób z niepełnosprawnościami objętych wsparciem w programie</w:t>
      </w:r>
    </w:p>
    <w:p w:rsidR="00202C2D" w:rsidRDefault="004366E5">
      <w:pPr>
        <w:rPr>
          <w:b/>
          <w:sz w:val="28"/>
        </w:rPr>
      </w:pPr>
      <w:r>
        <w:rPr>
          <w:sz w:val="28"/>
        </w:rPr>
        <w:t>WLWK-PL0CO01 - Liczba projektów, w których sfinansowano koszty racjonalnych usprawnień dla osób z niepełnosprawnościami</w:t>
      </w:r>
    </w:p>
    <w:p w:rsidR="00202C2D" w:rsidRDefault="004366E5">
      <w:pPr>
        <w:rPr>
          <w:b/>
          <w:sz w:val="28"/>
        </w:rPr>
      </w:pPr>
      <w:r>
        <w:rPr>
          <w:sz w:val="28"/>
        </w:rPr>
        <w:t>PROG-FEPM-EFS-001 - Liczba inicjatyw na rzecz promowania równości i aktywnego udziału w życiu społecznym</w:t>
      </w:r>
    </w:p>
    <w:p w:rsidR="00202C2D" w:rsidRDefault="004366E5">
      <w:pPr>
        <w:rPr>
          <w:b/>
          <w:sz w:val="28"/>
        </w:rPr>
      </w:pPr>
      <w:r>
        <w:rPr>
          <w:sz w:val="28"/>
        </w:rPr>
        <w:lastRenderedPageBreak/>
        <w:t>PROG-FEPM-EFS-004 - Wartość wydatków kwalifikowalnych przeznaczonych na realizację działań w obszarze niedyskryminacji</w:t>
      </w:r>
    </w:p>
    <w:p w:rsidR="00202C2D" w:rsidRDefault="004366E5">
      <w:pPr>
        <w:rPr>
          <w:b/>
          <w:sz w:val="28"/>
        </w:rPr>
      </w:pPr>
      <w:r>
        <w:rPr>
          <w:b/>
          <w:sz w:val="28"/>
        </w:rPr>
        <w:t>Wskaźniki rezultatu</w:t>
      </w:r>
    </w:p>
    <w:p w:rsidR="00202C2D" w:rsidRDefault="004366E5">
      <w:pPr>
        <w:rPr>
          <w:b/>
          <w:sz w:val="28"/>
        </w:rPr>
      </w:pPr>
      <w:r>
        <w:rPr>
          <w:sz w:val="28"/>
        </w:rPr>
        <w:t>WLWK-EECR03 - Liczba osób, które uzyskały kwalifikacje po opuszczeniu programu</w:t>
      </w:r>
    </w:p>
    <w:p w:rsidR="00202C2D" w:rsidRDefault="004366E5">
      <w:pPr>
        <w:rPr>
          <w:b/>
          <w:sz w:val="28"/>
        </w:rPr>
      </w:pPr>
      <w:r>
        <w:rPr>
          <w:sz w:val="28"/>
        </w:rPr>
        <w:t>WLWK-PLHILCR01 - Liczba osób, których sytuacja społeczna uległa poprawie po opuszczeniu programu</w:t>
      </w:r>
    </w:p>
    <w:p w:rsidR="00202C2D" w:rsidRDefault="004366E5">
      <w:pPr>
        <w:rPr>
          <w:b/>
          <w:sz w:val="28"/>
        </w:rPr>
      </w:pPr>
      <w:r>
        <w:rPr>
          <w:sz w:val="28"/>
        </w:rPr>
        <w:t>WLWK-EECR01 - Liczba osób poszukujących pracy po opuszczeniu programu</w:t>
      </w:r>
    </w:p>
    <w:p w:rsidR="00202C2D" w:rsidRDefault="004366E5">
      <w:pPr>
        <w:rPr>
          <w:b/>
          <w:sz w:val="28"/>
        </w:rPr>
      </w:pPr>
      <w:r>
        <w:rPr>
          <w:sz w:val="28"/>
        </w:rPr>
        <w:t>WLWK-EECR04 - Liczba osób pracujących, łącznie z prowadzącymi działalność na własny rachunek, po opuszczeniu programu</w:t>
      </w:r>
    </w:p>
    <w:p w:rsidR="00202C2D" w:rsidRDefault="00202C2D">
      <w:pPr>
        <w:rPr>
          <w:b/>
          <w:sz w:val="28"/>
        </w:rPr>
      </w:pPr>
    </w:p>
    <w:p w:rsidR="00202C2D" w:rsidRDefault="004366E5">
      <w:pPr>
        <w:pStyle w:val="Nagwek3"/>
        <w:rPr>
          <w:rFonts w:ascii="Calibri" w:hAnsi="Calibri" w:cs="Calibri"/>
          <w:sz w:val="32"/>
        </w:rPr>
      </w:pPr>
      <w:bookmarkStart w:id="19" w:name="_Toc132714004"/>
      <w:r>
        <w:rPr>
          <w:rFonts w:ascii="Calibri" w:hAnsi="Calibri" w:cs="Calibri"/>
          <w:sz w:val="32"/>
        </w:rPr>
        <w:t>Działanie FEPM.05.13 Rozwój ekonomii społecznej</w:t>
      </w:r>
      <w:bookmarkEnd w:id="19"/>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EFS+.CP4.H - Wspieranie aktywnego włączenia społecznego w celu promowania równości szans, niedyskryminacji i aktywnego uczestnictwa, oraz zwiększanie zdolności do zatrudnienia, w szczególności grup w niekorzystnej sytuacji</w:t>
      </w:r>
    </w:p>
    <w:p w:rsidR="00202C2D" w:rsidRDefault="004366E5">
      <w:pPr>
        <w:rPr>
          <w:b/>
          <w:sz w:val="28"/>
        </w:rPr>
      </w:pPr>
      <w:r>
        <w:rPr>
          <w:b/>
          <w:sz w:val="28"/>
        </w:rPr>
        <w:t>Wysokość alokacji UE (EUR)</w:t>
      </w:r>
    </w:p>
    <w:p w:rsidR="00202C2D" w:rsidRDefault="004366E5">
      <w:pPr>
        <w:rPr>
          <w:b/>
          <w:sz w:val="28"/>
        </w:rPr>
      </w:pPr>
      <w:r>
        <w:rPr>
          <w:sz w:val="28"/>
        </w:rPr>
        <w:t>11 666 027,00</w:t>
      </w:r>
    </w:p>
    <w:p w:rsidR="00202C2D" w:rsidRDefault="004366E5">
      <w:pPr>
        <w:rPr>
          <w:b/>
          <w:sz w:val="28"/>
        </w:rPr>
      </w:pPr>
      <w:r>
        <w:rPr>
          <w:b/>
          <w:sz w:val="28"/>
        </w:rPr>
        <w:t>Zakres interwencji</w:t>
      </w:r>
    </w:p>
    <w:p w:rsidR="00202C2D" w:rsidRDefault="004366E5">
      <w:pPr>
        <w:rPr>
          <w:b/>
          <w:sz w:val="28"/>
        </w:rPr>
      </w:pPr>
      <w:r>
        <w:rPr>
          <w:sz w:val="28"/>
        </w:rPr>
        <w:t>138 - Wsparcie na rzecz ekonomii społecznej i przedsiębiorstw społecznych</w:t>
      </w:r>
    </w:p>
    <w:p w:rsidR="00202C2D" w:rsidRDefault="004366E5">
      <w:pPr>
        <w:rPr>
          <w:b/>
          <w:sz w:val="28"/>
        </w:rPr>
      </w:pPr>
      <w:r>
        <w:rPr>
          <w:b/>
          <w:sz w:val="28"/>
        </w:rPr>
        <w:t>Opis działania</w:t>
      </w:r>
    </w:p>
    <w:p w:rsidR="00202C2D" w:rsidRDefault="004366E5">
      <w:pPr>
        <w:rPr>
          <w:b/>
          <w:sz w:val="28"/>
        </w:rPr>
      </w:pPr>
      <w:r>
        <w:rPr>
          <w:sz w:val="28"/>
        </w:rPr>
        <w:t xml:space="preserve">Nadal poważną barierą dla sektora ekonomii społecznej w województwie pomorskim jest uzależnienie od środków publicznych, brak powiązań ze sferą biznesu, słaba promocja, brak dobrych praktyk oraz niski poziom wiedzy i </w:t>
      </w:r>
      <w:r>
        <w:rPr>
          <w:sz w:val="28"/>
        </w:rPr>
        <w:lastRenderedPageBreak/>
        <w:t xml:space="preserve">świadomości dotyczący funkcjonowania tego typu podmiotów. W efekcie, poziom zatrudnienia w sektorze ekonomii społecznej jest wciąż niezadowalający. </w:t>
      </w:r>
    </w:p>
    <w:p w:rsidR="00202C2D" w:rsidRDefault="004366E5">
      <w:pPr>
        <w:rPr>
          <w:b/>
          <w:sz w:val="28"/>
        </w:rPr>
      </w:pPr>
      <w:r>
        <w:rPr>
          <w:sz w:val="28"/>
        </w:rP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p>
    <w:p w:rsidR="00202C2D" w:rsidRDefault="004366E5">
      <w:pPr>
        <w:rPr>
          <w:b/>
          <w:sz w:val="28"/>
        </w:rPr>
      </w:pPr>
      <w:r>
        <w:rPr>
          <w:sz w:val="28"/>
        </w:rP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p>
    <w:p w:rsidR="00202C2D" w:rsidRDefault="004366E5">
      <w:pPr>
        <w:rPr>
          <w:b/>
          <w:sz w:val="28"/>
        </w:rPr>
      </w:pPr>
      <w:r>
        <w:rPr>
          <w:sz w:val="28"/>
        </w:rPr>
        <w:t>Typ projektów:</w:t>
      </w:r>
    </w:p>
    <w:p w:rsidR="00202C2D" w:rsidRDefault="004366E5">
      <w:pPr>
        <w:rPr>
          <w:b/>
          <w:sz w:val="28"/>
        </w:rPr>
      </w:pPr>
      <w:r>
        <w:rPr>
          <w:sz w:val="28"/>
        </w:rPr>
        <w:t>Usługi na rzecz sektora ekonomii społecznej, realizowane wyłącznie przez akredytowane Ośrodki Wspierania Ekonomii Społecznej (OWES), w oparciu o diagnozę sytuacji problemowej, zasobów, potencjału, potrzeb w szczególności poprzez:</w:t>
      </w:r>
    </w:p>
    <w:p w:rsidR="00202C2D" w:rsidRDefault="004366E5">
      <w:pPr>
        <w:rPr>
          <w:b/>
          <w:sz w:val="28"/>
        </w:rPr>
      </w:pPr>
      <w:r>
        <w:rPr>
          <w:sz w:val="28"/>
        </w:rPr>
        <w:t>a. bezzwrotne wsparcie finansowe na utworzenie i utrzymanie miejsc pracy w przedsiębiorstwach społecznych przyznawane w  formie stawek jednostkowych;</w:t>
      </w:r>
    </w:p>
    <w:p w:rsidR="00202C2D" w:rsidRDefault="004366E5">
      <w:pPr>
        <w:rPr>
          <w:b/>
          <w:sz w:val="28"/>
        </w:rPr>
      </w:pPr>
      <w:r>
        <w:rPr>
          <w:sz w:val="28"/>
        </w:rPr>
        <w:t>b. wsparcie realizacji indywidualnego procesu reintegracji pracownika zagrożonego wykluczeniem zgodnie z realizowanym planem reintegracji;</w:t>
      </w:r>
    </w:p>
    <w:p w:rsidR="00202C2D" w:rsidRDefault="004366E5">
      <w:pPr>
        <w:rPr>
          <w:b/>
          <w:sz w:val="28"/>
        </w:rPr>
      </w:pPr>
      <w:r>
        <w:rPr>
          <w:sz w:val="28"/>
        </w:rPr>
        <w:t>c. usługi wsparcia rozwoju ekonomii społecznej w zakresie animacji oraz wsparcia tworzenia przedsiębiorstw społecznych;</w:t>
      </w:r>
    </w:p>
    <w:p w:rsidR="00202C2D" w:rsidRDefault="004366E5">
      <w:pPr>
        <w:rPr>
          <w:b/>
          <w:sz w:val="28"/>
        </w:rPr>
      </w:pPr>
      <w:r>
        <w:rPr>
          <w:sz w:val="28"/>
        </w:rPr>
        <w:t xml:space="preserve">d. usługi wsparcia istniejących przedsiębiorstw społecznych służące ich profesjonalizacji.  </w:t>
      </w:r>
    </w:p>
    <w:p w:rsidR="00202C2D" w:rsidRDefault="004366E5">
      <w:pPr>
        <w:rPr>
          <w:b/>
          <w:sz w:val="28"/>
        </w:rPr>
      </w:pPr>
      <w:r>
        <w:rPr>
          <w:sz w:val="28"/>
        </w:rPr>
        <w:t>Najważniejsze warunki realizacji projektów:</w:t>
      </w:r>
    </w:p>
    <w:p w:rsidR="00202C2D" w:rsidRDefault="004366E5">
      <w:pPr>
        <w:rPr>
          <w:b/>
          <w:sz w:val="28"/>
        </w:rPr>
      </w:pPr>
      <w:r>
        <w:rPr>
          <w:sz w:val="28"/>
        </w:rPr>
        <w:lastRenderedPageBreak/>
        <w:t>1. Wsparcie realizowane będzie wyłącznie przez akredytowane Ośrodki Wspierania Ekonomii Społecznej (OWES).</w:t>
      </w:r>
    </w:p>
    <w:p w:rsidR="00202C2D" w:rsidRDefault="004366E5">
      <w:pPr>
        <w:rPr>
          <w:b/>
          <w:sz w:val="28"/>
        </w:rPr>
      </w:pPr>
      <w:r>
        <w:rPr>
          <w:sz w:val="28"/>
        </w:rP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p>
    <w:p w:rsidR="00202C2D" w:rsidRDefault="004366E5">
      <w:pPr>
        <w:rPr>
          <w:b/>
          <w:sz w:val="28"/>
        </w:rPr>
      </w:pPr>
      <w:r>
        <w:rPr>
          <w:sz w:val="28"/>
        </w:rPr>
        <w:t>Ukierunkowanie terytorialne:</w:t>
      </w:r>
    </w:p>
    <w:p w:rsidR="00202C2D" w:rsidRDefault="004366E5">
      <w:pPr>
        <w:rPr>
          <w:b/>
          <w:sz w:val="28"/>
        </w:rPr>
      </w:pPr>
      <w:r>
        <w:rPr>
          <w:sz w:val="28"/>
        </w:rPr>
        <w:t>Interwencja będzie prowadzona na terenie całego województwa.</w:t>
      </w:r>
    </w:p>
    <w:p w:rsidR="00202C2D" w:rsidRDefault="004366E5">
      <w:pPr>
        <w:rPr>
          <w:b/>
          <w:sz w:val="28"/>
        </w:rPr>
      </w:pPr>
      <w:r>
        <w:rPr>
          <w:sz w:val="28"/>
        </w:rPr>
        <w:t>Preferowane zgodnie z Programem będą projekty:</w:t>
      </w:r>
    </w:p>
    <w:p w:rsidR="00202C2D" w:rsidRDefault="004366E5">
      <w:pPr>
        <w:rPr>
          <w:b/>
          <w:sz w:val="28"/>
        </w:rPr>
      </w:pPr>
      <w:r>
        <w:rPr>
          <w:sz w:val="28"/>
        </w:rPr>
        <w:t>1. partnerskie, realizowane we współpracy z IOB lub pracodawcami lub ich organizacjami;</w:t>
      </w:r>
    </w:p>
    <w:p w:rsidR="00202C2D" w:rsidRDefault="004366E5">
      <w:pPr>
        <w:rPr>
          <w:b/>
          <w:sz w:val="28"/>
        </w:rPr>
      </w:pPr>
      <w:r>
        <w:rPr>
          <w:sz w:val="28"/>
        </w:rPr>
        <w:t>2. zakładające współpracę międzynarodową lub transnarodową (jedynie w przypadku bezpośredniego wpływu tej współpracy na osiągnięcie rezultatów Celu).</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100</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lastRenderedPageBreak/>
        <w:t>Pomoc publiczna – krajowa podstawa prawna</w:t>
      </w:r>
    </w:p>
    <w:p w:rsidR="00202C2D" w:rsidRDefault="004366E5">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202C2D" w:rsidRDefault="004366E5">
      <w:pPr>
        <w:rPr>
          <w:b/>
          <w:sz w:val="28"/>
        </w:rPr>
      </w:pPr>
      <w:r>
        <w:rPr>
          <w:b/>
          <w:sz w:val="28"/>
        </w:rPr>
        <w:t>Uproszczone metody rozliczania</w:t>
      </w:r>
    </w:p>
    <w:p w:rsidR="00202C2D" w:rsidRDefault="004366E5">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15</w:t>
      </w:r>
    </w:p>
    <w:p w:rsidR="00202C2D" w:rsidRDefault="004366E5">
      <w:pPr>
        <w:rPr>
          <w:b/>
          <w:sz w:val="28"/>
        </w:rPr>
      </w:pPr>
      <w:r>
        <w:rPr>
          <w:b/>
          <w:sz w:val="28"/>
        </w:rPr>
        <w:t>Minimalny wkład własny beneficjenta</w:t>
      </w:r>
    </w:p>
    <w:p w:rsidR="00202C2D" w:rsidRDefault="004366E5">
      <w:pPr>
        <w:rPr>
          <w:b/>
          <w:sz w:val="28"/>
        </w:rPr>
      </w:pPr>
      <w:r>
        <w:rPr>
          <w:sz w:val="28"/>
        </w:rPr>
        <w:t>5% wartości projektu z wyłączeniem środków na dotacje na tworzenie i utrzymanie miejsc pracy</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Organizacje społeczne i związki wyznaniowe</w:t>
      </w:r>
    </w:p>
    <w:p w:rsidR="00202C2D" w:rsidRDefault="004366E5">
      <w:pPr>
        <w:rPr>
          <w:b/>
          <w:sz w:val="28"/>
        </w:rPr>
      </w:pPr>
      <w:r>
        <w:rPr>
          <w:b/>
          <w:sz w:val="28"/>
        </w:rPr>
        <w:t>Grupa docelowa</w:t>
      </w:r>
    </w:p>
    <w:p w:rsidR="00202C2D" w:rsidRDefault="004366E5">
      <w:pPr>
        <w:rPr>
          <w:b/>
          <w:sz w:val="28"/>
        </w:rPr>
      </w:pPr>
      <w:r>
        <w:rPr>
          <w:sz w:val="28"/>
        </w:rPr>
        <w:lastRenderedPageBreak/>
        <w:t>osoby bierne zawodowo, osoby dotknięte ubóstwem i wykluczeniem społecznym, osoby z niepełnosprawnościami, osoby zagrożone ubóstwem i wykluczeniem społecznym, podmioty ekonomii społecznej (w tym przedsiębiorstwa społeczne)</w:t>
      </w:r>
    </w:p>
    <w:p w:rsidR="00202C2D" w:rsidRDefault="004366E5">
      <w:pPr>
        <w:rPr>
          <w:b/>
          <w:sz w:val="28"/>
        </w:rPr>
      </w:pPr>
      <w:r>
        <w:rPr>
          <w:b/>
          <w:sz w:val="28"/>
        </w:rPr>
        <w:t>Słowa kluczowe</w:t>
      </w:r>
    </w:p>
    <w:p w:rsidR="00202C2D" w:rsidRDefault="004366E5">
      <w:pPr>
        <w:rPr>
          <w:b/>
          <w:sz w:val="28"/>
        </w:rPr>
      </w:pPr>
      <w:proofErr w:type="spellStart"/>
      <w:r>
        <w:rPr>
          <w:sz w:val="28"/>
        </w:rPr>
        <w:t>dotacje_na_miejsca_pracy</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przedsiębiorczość_społeczna</w:t>
      </w:r>
      <w:proofErr w:type="spellEnd"/>
      <w:r>
        <w:rPr>
          <w:sz w:val="28"/>
        </w:rPr>
        <w:t xml:space="preserve">, </w:t>
      </w:r>
      <w:proofErr w:type="spellStart"/>
      <w:r>
        <w:rPr>
          <w:sz w:val="28"/>
        </w:rPr>
        <w:t>włączenie_społeczne</w:t>
      </w:r>
      <w:proofErr w:type="spellEnd"/>
    </w:p>
    <w:p w:rsidR="00202C2D" w:rsidRDefault="004366E5">
      <w:pPr>
        <w:rPr>
          <w:b/>
          <w:sz w:val="28"/>
        </w:rPr>
      </w:pPr>
      <w:r>
        <w:rPr>
          <w:b/>
          <w:sz w:val="28"/>
        </w:rPr>
        <w:t>Wskaźniki produktu</w:t>
      </w:r>
    </w:p>
    <w:p w:rsidR="00202C2D" w:rsidRDefault="004366E5">
      <w:pPr>
        <w:rPr>
          <w:b/>
          <w:sz w:val="28"/>
        </w:rPr>
      </w:pPr>
      <w:r>
        <w:rPr>
          <w:sz w:val="28"/>
        </w:rPr>
        <w:t>WLWK-PL0CO02 - Liczba obiektów dostosowanych do potrzeb osób z niepełnosprawnościami</w:t>
      </w:r>
    </w:p>
    <w:p w:rsidR="00202C2D" w:rsidRDefault="004366E5">
      <w:pPr>
        <w:rPr>
          <w:b/>
          <w:sz w:val="28"/>
        </w:rPr>
      </w:pPr>
      <w:r>
        <w:rPr>
          <w:sz w:val="28"/>
        </w:rPr>
        <w:t>WLWK-EECO19 - Liczba objętych wsparciem mikro-, małych i średnich przedsiębiorstw (w tym spółdzielni i przedsiębiorstw społecznych)</w:t>
      </w:r>
    </w:p>
    <w:p w:rsidR="00202C2D" w:rsidRDefault="004366E5">
      <w:pPr>
        <w:rPr>
          <w:b/>
          <w:sz w:val="28"/>
        </w:rPr>
      </w:pPr>
      <w:r>
        <w:rPr>
          <w:sz w:val="28"/>
        </w:rPr>
        <w:t>WLWK-EECO02 - Liczba osób bezrobotnych, w tym długotrwale bezrobotnych, objętych wsparciem w programie</w:t>
      </w:r>
    </w:p>
    <w:p w:rsidR="00202C2D" w:rsidRDefault="004366E5">
      <w:pPr>
        <w:rPr>
          <w:b/>
          <w:sz w:val="28"/>
        </w:rPr>
      </w:pPr>
      <w:r>
        <w:rPr>
          <w:sz w:val="28"/>
        </w:rPr>
        <w:t>WLWK-EECO04 - Liczba osób biernych zawodowo objętych wsparciem w programie</w:t>
      </w:r>
    </w:p>
    <w:p w:rsidR="00202C2D" w:rsidRDefault="004366E5">
      <w:pPr>
        <w:rPr>
          <w:b/>
          <w:sz w:val="28"/>
        </w:rPr>
      </w:pPr>
      <w:r>
        <w:rPr>
          <w:sz w:val="28"/>
        </w:rPr>
        <w:t>WLWK-EECO03 - Liczba osób długotrwale bezrobotnych objętych wsparciem w programie</w:t>
      </w:r>
    </w:p>
    <w:p w:rsidR="00202C2D" w:rsidRDefault="004366E5">
      <w:pPr>
        <w:rPr>
          <w:b/>
          <w:sz w:val="28"/>
        </w:rPr>
      </w:pPr>
      <w:r>
        <w:rPr>
          <w:sz w:val="28"/>
        </w:rPr>
        <w:t>WLWK-EECO15 - Liczba osób należących do mniejszości, w tym społeczności marginalizowanych takich jak Romowie, objętych wsparciem w programie</w:t>
      </w:r>
    </w:p>
    <w:p w:rsidR="00202C2D" w:rsidRDefault="004366E5">
      <w:pPr>
        <w:rPr>
          <w:b/>
          <w:sz w:val="28"/>
        </w:rPr>
      </w:pPr>
      <w:r>
        <w:rPr>
          <w:sz w:val="28"/>
        </w:rPr>
        <w:t>WLWK-EECO02+04  - Liczba osób niezatrudnionych objętych wsparciem w programie</w:t>
      </w:r>
    </w:p>
    <w:p w:rsidR="00202C2D" w:rsidRDefault="004366E5">
      <w:pPr>
        <w:rPr>
          <w:b/>
          <w:sz w:val="28"/>
        </w:rPr>
      </w:pPr>
      <w:r>
        <w:rPr>
          <w:sz w:val="28"/>
        </w:rPr>
        <w:t>WLWK-EECO14 - Liczba osób obcego pochodzenia objętych wsparciem w programie</w:t>
      </w:r>
    </w:p>
    <w:p w:rsidR="00202C2D" w:rsidRDefault="004366E5">
      <w:pPr>
        <w:rPr>
          <w:b/>
          <w:sz w:val="28"/>
        </w:rPr>
      </w:pPr>
      <w:r>
        <w:rPr>
          <w:sz w:val="28"/>
        </w:rPr>
        <w:t>WLWK-EECO16 - Liczba osób w kryzysie bezdomności lub dotkniętych wykluczeniem z dostępu do mieszkań, objętych wsparciem w programie</w:t>
      </w:r>
    </w:p>
    <w:p w:rsidR="00202C2D" w:rsidRDefault="004366E5">
      <w:pPr>
        <w:rPr>
          <w:b/>
          <w:sz w:val="28"/>
        </w:rPr>
      </w:pPr>
      <w:r>
        <w:rPr>
          <w:sz w:val="28"/>
        </w:rPr>
        <w:t>WLWK-EECO13 - Liczba osób z krajów trzecich objętych wsparciem w programie</w:t>
      </w:r>
    </w:p>
    <w:p w:rsidR="00202C2D" w:rsidRDefault="004366E5">
      <w:pPr>
        <w:rPr>
          <w:b/>
          <w:sz w:val="28"/>
        </w:rPr>
      </w:pPr>
      <w:r>
        <w:rPr>
          <w:sz w:val="28"/>
        </w:rPr>
        <w:lastRenderedPageBreak/>
        <w:t>WLWK-EECO12 - Liczba osób z niepełnosprawnościami objętych wsparciem w programie</w:t>
      </w:r>
    </w:p>
    <w:p w:rsidR="00202C2D" w:rsidRDefault="004366E5">
      <w:pPr>
        <w:rPr>
          <w:b/>
          <w:sz w:val="28"/>
        </w:rPr>
      </w:pPr>
      <w:r>
        <w:rPr>
          <w:sz w:val="28"/>
        </w:rPr>
        <w:t>WLWK-PLHCO01 - Liczba podmiotów ekonomii społecznej objętych wsparciem</w:t>
      </w:r>
    </w:p>
    <w:p w:rsidR="00202C2D" w:rsidRDefault="004366E5">
      <w:pPr>
        <w:rPr>
          <w:b/>
          <w:sz w:val="28"/>
        </w:rPr>
      </w:pPr>
      <w:r>
        <w:rPr>
          <w:sz w:val="28"/>
        </w:rPr>
        <w:t>WLWK-PL0CO01 - Liczba projektów, w których sfinansowano koszty racjonalnych usprawnień dla osób z niepełnosprawnościami</w:t>
      </w:r>
    </w:p>
    <w:p w:rsidR="00202C2D" w:rsidRDefault="004366E5">
      <w:pPr>
        <w:rPr>
          <w:b/>
          <w:sz w:val="28"/>
        </w:rPr>
      </w:pPr>
      <w:r>
        <w:rPr>
          <w:b/>
          <w:sz w:val="28"/>
        </w:rPr>
        <w:t>Wskaźniki rezultatu</w:t>
      </w:r>
    </w:p>
    <w:p w:rsidR="00202C2D" w:rsidRDefault="004366E5">
      <w:pPr>
        <w:rPr>
          <w:b/>
          <w:sz w:val="28"/>
        </w:rPr>
      </w:pPr>
      <w:r>
        <w:rPr>
          <w:sz w:val="28"/>
        </w:rPr>
        <w:t>WLWK-PLHCR01 - Liczba miejsc pracy utworzonych w przedsiębiorstwach społecznych</w:t>
      </w:r>
    </w:p>
    <w:p w:rsidR="00202C2D" w:rsidRDefault="004366E5">
      <w:pPr>
        <w:rPr>
          <w:b/>
          <w:sz w:val="28"/>
        </w:rPr>
      </w:pPr>
      <w:r>
        <w:rPr>
          <w:sz w:val="28"/>
        </w:rPr>
        <w:t>WLWK-EECR03 - Liczba osób, które uzyskały kwalifikacje po opuszczeniu programu</w:t>
      </w:r>
    </w:p>
    <w:p w:rsidR="00202C2D" w:rsidRDefault="004366E5">
      <w:pPr>
        <w:rPr>
          <w:b/>
          <w:sz w:val="28"/>
        </w:rPr>
      </w:pPr>
      <w:r>
        <w:rPr>
          <w:sz w:val="28"/>
        </w:rPr>
        <w:t>WLWK-PLHILCR01 - Liczba osób, których sytuacja społeczna uległa poprawie po opuszczeniu programu</w:t>
      </w:r>
    </w:p>
    <w:p w:rsidR="00202C2D" w:rsidRDefault="004366E5">
      <w:pPr>
        <w:rPr>
          <w:b/>
          <w:sz w:val="28"/>
        </w:rPr>
      </w:pPr>
      <w:r>
        <w:rPr>
          <w:sz w:val="28"/>
        </w:rPr>
        <w:t>WLWK-EECR01 - Liczba osób poszukujących pracy po opuszczeniu programu</w:t>
      </w:r>
    </w:p>
    <w:p w:rsidR="00202C2D" w:rsidRDefault="004366E5">
      <w:pPr>
        <w:rPr>
          <w:b/>
          <w:sz w:val="28"/>
        </w:rPr>
      </w:pPr>
      <w:r>
        <w:rPr>
          <w:sz w:val="28"/>
        </w:rPr>
        <w:t>WLWK-EECR04 - Liczba osób pracujących, łącznie z prowadzącymi działalność na własny rachunek, po opuszczeniu programu</w:t>
      </w:r>
    </w:p>
    <w:p w:rsidR="00202C2D" w:rsidRDefault="00202C2D">
      <w:pPr>
        <w:rPr>
          <w:b/>
          <w:sz w:val="28"/>
        </w:rPr>
      </w:pPr>
      <w:bookmarkStart w:id="20" w:name="_Toc76643859"/>
    </w:p>
    <w:p w:rsidR="00202C2D" w:rsidRDefault="004366E5">
      <w:pPr>
        <w:pStyle w:val="Nagwek2"/>
        <w:rPr>
          <w:rFonts w:ascii="Calibri" w:hAnsi="Calibri" w:cs="Calibri"/>
          <w:i w:val="0"/>
          <w:sz w:val="32"/>
        </w:rPr>
      </w:pPr>
      <w:bookmarkStart w:id="21" w:name="_Toc132714005"/>
      <w:r>
        <w:rPr>
          <w:rFonts w:ascii="Calibri" w:hAnsi="Calibri" w:cs="Calibri"/>
          <w:i w:val="0"/>
          <w:sz w:val="32"/>
        </w:rPr>
        <w:t xml:space="preserve">Priorytet FEPM.06 </w:t>
      </w:r>
      <w:bookmarkEnd w:id="20"/>
      <w:r>
        <w:rPr>
          <w:rFonts w:ascii="Calibri" w:hAnsi="Calibri" w:cs="Calibri"/>
          <w:i w:val="0"/>
          <w:sz w:val="32"/>
        </w:rPr>
        <w:t>Fundusze europejskie dla silnego społecznie Pomorza (EFRR)</w:t>
      </w:r>
      <w:bookmarkEnd w:id="21"/>
    </w:p>
    <w:p w:rsidR="00202C2D" w:rsidRDefault="00202C2D">
      <w:pPr>
        <w:rPr>
          <w:rFonts w:ascii="Calibri" w:hAnsi="Calibri"/>
          <w:sz w:val="32"/>
        </w:rPr>
      </w:pPr>
    </w:p>
    <w:p w:rsidR="00202C2D" w:rsidRDefault="004366E5">
      <w:pPr>
        <w:rPr>
          <w:b/>
          <w:sz w:val="28"/>
        </w:rPr>
      </w:pPr>
      <w:r>
        <w:rPr>
          <w:b/>
          <w:sz w:val="28"/>
        </w:rPr>
        <w:t>Instytucja Zarządzająca</w:t>
      </w:r>
    </w:p>
    <w:p w:rsidR="00202C2D" w:rsidRDefault="004366E5">
      <w:pPr>
        <w:rPr>
          <w:b/>
          <w:sz w:val="28"/>
        </w:rPr>
      </w:pPr>
      <w:r>
        <w:rPr>
          <w:sz w:val="28"/>
        </w:rPr>
        <w:t>Urząd Marszałkowski Województwa Pomorskiego</w:t>
      </w:r>
    </w:p>
    <w:p w:rsidR="00202C2D" w:rsidRDefault="004366E5">
      <w:pPr>
        <w:rPr>
          <w:b/>
          <w:sz w:val="28"/>
        </w:rPr>
      </w:pPr>
      <w:r>
        <w:rPr>
          <w:b/>
          <w:sz w:val="28"/>
        </w:rPr>
        <w:t>Fundusz</w:t>
      </w:r>
    </w:p>
    <w:p w:rsidR="00202C2D" w:rsidRDefault="004366E5">
      <w:pPr>
        <w:rPr>
          <w:b/>
          <w:sz w:val="28"/>
        </w:rPr>
      </w:pPr>
      <w:r>
        <w:rPr>
          <w:sz w:val="28"/>
        </w:rPr>
        <w:t>Europejski Fundusz Rozwoju Regionalnego</w:t>
      </w:r>
    </w:p>
    <w:p w:rsidR="00202C2D" w:rsidRDefault="004366E5">
      <w:pPr>
        <w:rPr>
          <w:b/>
          <w:sz w:val="28"/>
        </w:rPr>
      </w:pPr>
      <w:r>
        <w:rPr>
          <w:b/>
          <w:sz w:val="28"/>
        </w:rPr>
        <w:t>Cel Polityki</w:t>
      </w:r>
    </w:p>
    <w:p w:rsidR="00202C2D" w:rsidRDefault="004366E5">
      <w:pPr>
        <w:rPr>
          <w:b/>
          <w:sz w:val="28"/>
        </w:rPr>
      </w:pPr>
      <w:r>
        <w:rPr>
          <w:sz w:val="28"/>
        </w:rPr>
        <w:lastRenderedPageBreak/>
        <w:t>CP4 - Europa o silniejszym wymiarze społecznym, bardziej sprzyjająca włączeniu społecznemu i wdrażająca Europejski filar praw socjalnych</w:t>
      </w:r>
    </w:p>
    <w:p w:rsidR="00202C2D" w:rsidRDefault="004366E5">
      <w:pPr>
        <w:rPr>
          <w:b/>
          <w:sz w:val="28"/>
        </w:rPr>
      </w:pPr>
      <w:r>
        <w:rPr>
          <w:b/>
          <w:sz w:val="28"/>
        </w:rPr>
        <w:t>Miejsce realizacji</w:t>
      </w:r>
    </w:p>
    <w:p w:rsidR="00202C2D" w:rsidRDefault="004366E5">
      <w:pPr>
        <w:rPr>
          <w:b/>
          <w:sz w:val="28"/>
        </w:rPr>
      </w:pPr>
      <w:r>
        <w:rPr>
          <w:sz w:val="28"/>
        </w:rPr>
        <w:t>POMORSKIE</w:t>
      </w:r>
    </w:p>
    <w:p w:rsidR="00202C2D" w:rsidRDefault="004366E5">
      <w:pPr>
        <w:rPr>
          <w:b/>
          <w:sz w:val="28"/>
        </w:rPr>
      </w:pPr>
      <w:r>
        <w:rPr>
          <w:b/>
          <w:sz w:val="28"/>
        </w:rPr>
        <w:t>Wysokość alokacji UE (EUR)</w:t>
      </w:r>
    </w:p>
    <w:p w:rsidR="00202C2D" w:rsidRDefault="004366E5">
      <w:pPr>
        <w:rPr>
          <w:b/>
          <w:sz w:val="28"/>
        </w:rPr>
      </w:pPr>
      <w:r>
        <w:rPr>
          <w:sz w:val="28"/>
        </w:rPr>
        <w:t>233 534 619,00</w:t>
      </w:r>
    </w:p>
    <w:p w:rsidR="00202C2D" w:rsidRDefault="00202C2D">
      <w:pPr>
        <w:rPr>
          <w:b/>
          <w:sz w:val="28"/>
        </w:rPr>
      </w:pPr>
    </w:p>
    <w:p w:rsidR="00202C2D" w:rsidRDefault="004366E5">
      <w:pPr>
        <w:pStyle w:val="Nagwek3"/>
        <w:rPr>
          <w:rFonts w:ascii="Calibri" w:hAnsi="Calibri" w:cs="Calibri"/>
          <w:sz w:val="32"/>
        </w:rPr>
      </w:pPr>
      <w:bookmarkStart w:id="22" w:name="_Toc132714006"/>
      <w:r>
        <w:rPr>
          <w:rFonts w:ascii="Calibri" w:hAnsi="Calibri" w:cs="Calibri"/>
          <w:sz w:val="32"/>
        </w:rPr>
        <w:t>Działanie FEPM.06.01 Infrastruktura edukacji przedszkolnej</w:t>
      </w:r>
      <w:bookmarkEnd w:id="22"/>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202C2D" w:rsidRDefault="004366E5">
      <w:pPr>
        <w:rPr>
          <w:b/>
          <w:sz w:val="28"/>
        </w:rPr>
      </w:pPr>
      <w:r>
        <w:rPr>
          <w:b/>
          <w:sz w:val="28"/>
        </w:rPr>
        <w:t>Wysokość alokacji UE (EUR)</w:t>
      </w:r>
    </w:p>
    <w:p w:rsidR="00202C2D" w:rsidRDefault="004366E5">
      <w:pPr>
        <w:rPr>
          <w:b/>
          <w:sz w:val="28"/>
        </w:rPr>
      </w:pPr>
      <w:r>
        <w:rPr>
          <w:sz w:val="28"/>
        </w:rPr>
        <w:t>10 114 028,00</w:t>
      </w:r>
    </w:p>
    <w:p w:rsidR="00202C2D" w:rsidRDefault="004366E5">
      <w:pPr>
        <w:rPr>
          <w:b/>
          <w:sz w:val="28"/>
        </w:rPr>
      </w:pPr>
      <w:r>
        <w:rPr>
          <w:b/>
          <w:sz w:val="28"/>
        </w:rPr>
        <w:t>Zakres interwencji</w:t>
      </w:r>
    </w:p>
    <w:p w:rsidR="00202C2D" w:rsidRDefault="004366E5">
      <w:pPr>
        <w:rPr>
          <w:b/>
          <w:sz w:val="28"/>
        </w:rPr>
      </w:pPr>
      <w:r>
        <w:rPr>
          <w:sz w:val="28"/>
        </w:rPr>
        <w:t>121 - Infrastruktura na potrzeby wczesnej edukacji i opieki nad dzieckiem</w:t>
      </w:r>
    </w:p>
    <w:p w:rsidR="00202C2D" w:rsidRDefault="004366E5">
      <w:pPr>
        <w:rPr>
          <w:b/>
          <w:sz w:val="28"/>
        </w:rPr>
      </w:pPr>
      <w:r>
        <w:rPr>
          <w:b/>
          <w:sz w:val="28"/>
        </w:rPr>
        <w:t>Opis działania</w:t>
      </w:r>
    </w:p>
    <w:p w:rsidR="00202C2D" w:rsidRDefault="004366E5">
      <w:pPr>
        <w:rPr>
          <w:b/>
          <w:sz w:val="28"/>
        </w:rPr>
      </w:pPr>
      <w:r>
        <w:rPr>
          <w:sz w:val="28"/>
        </w:rPr>
        <w:t xml:space="preserve">W ramach Działania realizowane będą projekty na rzecz upowszechnienia edukacji przedszkolnej. Wsparcie skierowane zostanie wyłącznie do gmin wiejskich i miejsko-wiejskich cechujących się najniższym odsetkiem dzieci objętych wychowaniem przedszkolnym w relacji do średniej wojewódzkiej oraz o najniższym wskaźniku liczby miejsc wychowania przedszkolnego w stosunku do liczby dzieci w wieku 3 - 5 lat. </w:t>
      </w:r>
    </w:p>
    <w:p w:rsidR="00202C2D" w:rsidRDefault="004366E5">
      <w:pPr>
        <w:rPr>
          <w:b/>
          <w:sz w:val="28"/>
        </w:rPr>
      </w:pPr>
      <w:r>
        <w:rPr>
          <w:sz w:val="28"/>
        </w:rPr>
        <w:lastRenderedPageBreak/>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p>
    <w:p w:rsidR="00202C2D" w:rsidRDefault="004366E5">
      <w:pPr>
        <w:rPr>
          <w:b/>
          <w:sz w:val="28"/>
        </w:rPr>
      </w:pPr>
      <w:r>
        <w:rPr>
          <w:sz w:val="28"/>
        </w:rPr>
        <w:t>Typy projektów:</w:t>
      </w:r>
    </w:p>
    <w:p w:rsidR="00202C2D" w:rsidRDefault="004366E5">
      <w:pPr>
        <w:rPr>
          <w:b/>
          <w:sz w:val="28"/>
        </w:rPr>
      </w:pPr>
      <w:r>
        <w:rPr>
          <w:sz w:val="28"/>
        </w:rPr>
        <w:t xml:space="preserve">Budowa, przebudowa, rozbudowa, remont infrastruktury przedszkoli i oddziałów przedszkolnych (samodzielnych obiektów i pomieszczeń zlokalizowanych w budynkach szkół). </w:t>
      </w:r>
    </w:p>
    <w:p w:rsidR="00202C2D" w:rsidRDefault="004366E5">
      <w:pPr>
        <w:rPr>
          <w:b/>
          <w:sz w:val="28"/>
        </w:rPr>
      </w:pPr>
      <w:r>
        <w:rPr>
          <w:sz w:val="28"/>
        </w:rPr>
        <w:t>W ramach ww. typów projektów możliwe będą:</w:t>
      </w:r>
    </w:p>
    <w:p w:rsidR="00202C2D" w:rsidRDefault="004366E5">
      <w:pPr>
        <w:rPr>
          <w:b/>
          <w:sz w:val="28"/>
        </w:rPr>
      </w:pPr>
      <w:r>
        <w:rPr>
          <w:sz w:val="28"/>
        </w:rPr>
        <w:t>a. zakup wyposażenia trwałego, w tym doposażenie w pomoce dydaktyczne, sprzęt lub narzędzia specjalistyczne dostosowane do rozpoznawania potrzeb rozwojowych i edukacyjnych dzieci;</w:t>
      </w:r>
    </w:p>
    <w:p w:rsidR="00202C2D" w:rsidRDefault="004366E5">
      <w:pPr>
        <w:rPr>
          <w:b/>
          <w:sz w:val="28"/>
        </w:rPr>
      </w:pPr>
      <w:r>
        <w:rPr>
          <w:sz w:val="28"/>
        </w:rPr>
        <w:t>b. budowa, rozbudowa, montaż placów zabaw wraz z bezpieczną nawierzchnią i ogrodzeniem.</w:t>
      </w:r>
    </w:p>
    <w:p w:rsidR="00202C2D" w:rsidRDefault="004366E5">
      <w:pPr>
        <w:rPr>
          <w:b/>
          <w:sz w:val="28"/>
        </w:rPr>
      </w:pPr>
      <w:r>
        <w:rPr>
          <w:sz w:val="28"/>
        </w:rPr>
        <w:t>Uzupełniająco możliwe będą również:</w:t>
      </w:r>
    </w:p>
    <w:p w:rsidR="00202C2D" w:rsidRDefault="004366E5">
      <w:pPr>
        <w:rPr>
          <w:b/>
          <w:sz w:val="28"/>
        </w:rPr>
      </w:pPr>
      <w:r>
        <w:rPr>
          <w:sz w:val="28"/>
        </w:rPr>
        <w:t xml:space="preserve">c. działania służące likwidacji barier architektonicznych, oraz poprawie dostępności cyfrowej i </w:t>
      </w:r>
      <w:proofErr w:type="spellStart"/>
      <w:r>
        <w:rPr>
          <w:sz w:val="28"/>
        </w:rPr>
        <w:t>informacyjno</w:t>
      </w:r>
      <w:proofErr w:type="spellEnd"/>
      <w:r>
        <w:rPr>
          <w:sz w:val="28"/>
        </w:rPr>
        <w:t xml:space="preserve"> – komunikacyjnej (nie pokrywającej się z zakresem wsparcia w ramach Krajowego Planu Odbudowy), w szczególności w oparciu o projektowanie uniwersalne lub zastosowanie racjonalnego usprawnienia oraz uwzględniające potrzeby osób z niepełnosprawnościami;</w:t>
      </w:r>
    </w:p>
    <w:p w:rsidR="00202C2D" w:rsidRDefault="004366E5">
      <w:pPr>
        <w:rPr>
          <w:b/>
          <w:sz w:val="28"/>
        </w:rPr>
      </w:pPr>
      <w:r>
        <w:rPr>
          <w:sz w:val="28"/>
        </w:rPr>
        <w:t>d. działania służące zmniejszeniu energochłonności infrastruktury i przyczyniające się do zmniejszenia kosztów jej utrzymania i osiągnięcia neutralności klimatycznej;</w:t>
      </w:r>
    </w:p>
    <w:p w:rsidR="00202C2D" w:rsidRDefault="004366E5">
      <w:pPr>
        <w:rPr>
          <w:b/>
          <w:sz w:val="28"/>
        </w:rPr>
      </w:pPr>
      <w:r>
        <w:rPr>
          <w:sz w:val="28"/>
        </w:rPr>
        <w:t>e. działania sprzyjające adaptacji do zmian klimatu poprzez zastosowanie błękitno-zielonej infrastruktury np. zielone dachy, zielone ściany itp.;</w:t>
      </w:r>
    </w:p>
    <w:p w:rsidR="00202C2D" w:rsidRDefault="004366E5">
      <w:pPr>
        <w:rPr>
          <w:b/>
          <w:sz w:val="28"/>
        </w:rPr>
      </w:pPr>
      <w:r>
        <w:rPr>
          <w:sz w:val="28"/>
        </w:rPr>
        <w:t>f. zagospodarowanie otoczenia obiektów, w szczególności modyfikacja przestrzeni wspierająca rozwój psychoruchowy i poznawczy dzieci.</w:t>
      </w:r>
    </w:p>
    <w:p w:rsidR="00202C2D" w:rsidRDefault="004366E5">
      <w:pPr>
        <w:rPr>
          <w:b/>
          <w:sz w:val="28"/>
        </w:rPr>
      </w:pPr>
      <w:r>
        <w:rPr>
          <w:sz w:val="28"/>
        </w:rPr>
        <w:lastRenderedPageBreak/>
        <w:t>Najważniejsze warunki realizacji projektów:</w:t>
      </w:r>
    </w:p>
    <w:p w:rsidR="00202C2D" w:rsidRDefault="004366E5">
      <w:pPr>
        <w:rPr>
          <w:b/>
          <w:sz w:val="28"/>
        </w:rPr>
      </w:pPr>
      <w:r>
        <w:rPr>
          <w:sz w:val="28"/>
        </w:rP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p>
    <w:p w:rsidR="00202C2D" w:rsidRDefault="004366E5">
      <w:pPr>
        <w:rPr>
          <w:b/>
          <w:sz w:val="28"/>
        </w:rPr>
      </w:pPr>
      <w:r>
        <w:rPr>
          <w:sz w:val="28"/>
        </w:rPr>
        <w:t>2.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p>
    <w:p w:rsidR="00202C2D" w:rsidRDefault="004366E5">
      <w:pPr>
        <w:rPr>
          <w:b/>
          <w:sz w:val="28"/>
        </w:rPr>
      </w:pPr>
      <w:r>
        <w:rPr>
          <w:sz w:val="28"/>
        </w:rPr>
        <w:t xml:space="preserve">3.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lub zagrożonej wykluczeniem społecznym.</w:t>
      </w:r>
    </w:p>
    <w:p w:rsidR="00202C2D" w:rsidRDefault="004366E5">
      <w:pPr>
        <w:rPr>
          <w:b/>
          <w:sz w:val="28"/>
        </w:rPr>
      </w:pPr>
      <w:r>
        <w:rPr>
          <w:sz w:val="28"/>
        </w:rPr>
        <w:t>4.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(ii).</w:t>
      </w:r>
    </w:p>
    <w:p w:rsidR="00202C2D" w:rsidRDefault="004366E5">
      <w:pPr>
        <w:rPr>
          <w:b/>
          <w:sz w:val="28"/>
        </w:rPr>
      </w:pPr>
      <w:r>
        <w:rPr>
          <w:sz w:val="28"/>
        </w:rPr>
        <w:t>Ukierunkowanie terytorialne:</w:t>
      </w:r>
    </w:p>
    <w:p w:rsidR="00202C2D" w:rsidRDefault="004366E5">
      <w:pPr>
        <w:rPr>
          <w:b/>
          <w:sz w:val="28"/>
        </w:rPr>
      </w:pPr>
      <w:r>
        <w:rPr>
          <w:sz w:val="28"/>
        </w:rPr>
        <w:lastRenderedPageBreak/>
        <w:t xml:space="preserve">Gminy wiejskie i miejsko-wiejskie cechujące się najniższym odsetkiem dzieci objętych wychowaniem przedszkolnym w relacji do średniej wojewódzkiej oraz o najniższym wskaźniku liczby miejsc wychowania przedszkolnego w stosunku do liczby dzieci w wieku 3 - 5 lat. Lista gmin spełniających powyższe kryteria stanowić będzie załącznik do regulaminu wyboru projektów. </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202C2D" w:rsidRDefault="004366E5">
      <w:pPr>
        <w:rPr>
          <w:b/>
          <w:sz w:val="28"/>
        </w:rPr>
      </w:pPr>
      <w:r>
        <w:rPr>
          <w:b/>
          <w:sz w:val="28"/>
        </w:rPr>
        <w:t>Uproszczone metody rozliczania</w:t>
      </w:r>
    </w:p>
    <w:p w:rsidR="00202C2D" w:rsidRDefault="004366E5">
      <w:pPr>
        <w:rPr>
          <w:b/>
          <w:sz w:val="28"/>
        </w:rPr>
      </w:pPr>
      <w:r>
        <w:rPr>
          <w:sz w:val="28"/>
        </w:rPr>
        <w:t>Brak, do 7% stawka ryczałtowa na koszty pośrednie (podstawa wyliczenia: koszty bezpośrednie) [art. 54(a) CPR],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lastRenderedPageBreak/>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Minimalna wartość projektu</w:t>
      </w:r>
    </w:p>
    <w:p w:rsidR="00202C2D" w:rsidRDefault="004366E5">
      <w:pPr>
        <w:rPr>
          <w:b/>
          <w:sz w:val="28"/>
        </w:rPr>
      </w:pPr>
      <w:r>
        <w:rPr>
          <w:sz w:val="28"/>
        </w:rPr>
        <w:t>500 000,00</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Organizacje społeczne i związki wyznaniowe, Przedsiębiorstwa, Służby publiczne</w:t>
      </w:r>
    </w:p>
    <w:p w:rsidR="00202C2D" w:rsidRDefault="004366E5">
      <w:pPr>
        <w:rPr>
          <w:b/>
          <w:sz w:val="28"/>
        </w:rPr>
      </w:pPr>
      <w:r>
        <w:rPr>
          <w:b/>
          <w:sz w:val="28"/>
        </w:rPr>
        <w:t>Typ beneficjenta – szczegółowy</w:t>
      </w:r>
    </w:p>
    <w:p w:rsidR="00202C2D" w:rsidRDefault="004366E5">
      <w:pPr>
        <w:rPr>
          <w:b/>
          <w:sz w:val="28"/>
        </w:rPr>
      </w:pPr>
      <w:r>
        <w:rPr>
          <w:sz w:val="28"/>
        </w:rPr>
        <w:t>Jednostki organizacyjne działające w imieniu jednostek samorządu terytorialnego, Jednostki Samorządu Terytorialnego, Kościoły i związki wyznaniowe, MŚP, Organizacje pozarządowe, Podmioty świadczące usługi publiczne w ramach realizacji obowiązków własnych jednostek samorządu terytorialnego, Przedszkola i inne formy wychowania przedszkolnego, Szkoły i inne placówki systemu oświaty</w:t>
      </w:r>
    </w:p>
    <w:p w:rsidR="00202C2D" w:rsidRDefault="004366E5">
      <w:pPr>
        <w:rPr>
          <w:b/>
          <w:sz w:val="28"/>
        </w:rPr>
      </w:pPr>
      <w:r>
        <w:rPr>
          <w:b/>
          <w:sz w:val="28"/>
        </w:rPr>
        <w:t>Grupa docelowa</w:t>
      </w:r>
    </w:p>
    <w:p w:rsidR="00202C2D" w:rsidRDefault="004366E5">
      <w:pPr>
        <w:rPr>
          <w:b/>
          <w:sz w:val="28"/>
        </w:rPr>
      </w:pPr>
      <w:r>
        <w:rPr>
          <w:sz w:val="28"/>
        </w:rPr>
        <w:t>dzieci biorące udział w edukacji przedszkolnej, nauczyciele , rodzice i opiekunowie dzieci w wieku przedszkolnym, rodzice lub opiekunowie</w:t>
      </w:r>
    </w:p>
    <w:p w:rsidR="00202C2D" w:rsidRDefault="004366E5">
      <w:pPr>
        <w:rPr>
          <w:b/>
          <w:sz w:val="28"/>
        </w:rPr>
      </w:pPr>
      <w:r>
        <w:rPr>
          <w:b/>
          <w:sz w:val="28"/>
        </w:rPr>
        <w:t>Słowa kluczowe</w:t>
      </w:r>
    </w:p>
    <w:p w:rsidR="00202C2D" w:rsidRDefault="004366E5">
      <w:pPr>
        <w:rPr>
          <w:b/>
          <w:sz w:val="28"/>
        </w:rPr>
      </w:pPr>
      <w:r>
        <w:rPr>
          <w:sz w:val="28"/>
        </w:rPr>
        <w:t xml:space="preserve">infrastruktura, </w:t>
      </w:r>
      <w:proofErr w:type="spellStart"/>
      <w:r>
        <w:rPr>
          <w:sz w:val="28"/>
        </w:rPr>
        <w:t>infrastruktura_edukacji_przedszkolnej</w:t>
      </w:r>
      <w:proofErr w:type="spellEnd"/>
      <w:r>
        <w:rPr>
          <w:sz w:val="28"/>
        </w:rPr>
        <w:t xml:space="preserve">, kształcenie, </w:t>
      </w:r>
      <w:proofErr w:type="spellStart"/>
      <w:r>
        <w:rPr>
          <w:sz w:val="28"/>
        </w:rPr>
        <w:t>wychowanie_przedszkolne</w:t>
      </w:r>
      <w:proofErr w:type="spellEnd"/>
    </w:p>
    <w:p w:rsidR="00202C2D" w:rsidRDefault="004366E5">
      <w:pPr>
        <w:rPr>
          <w:b/>
          <w:sz w:val="28"/>
        </w:rPr>
      </w:pPr>
      <w:r>
        <w:rPr>
          <w:b/>
          <w:sz w:val="28"/>
        </w:rPr>
        <w:t>Wielkość podmiotu (w przypadku przedsiębiorstw)</w:t>
      </w:r>
    </w:p>
    <w:p w:rsidR="00202C2D" w:rsidRDefault="004366E5">
      <w:pPr>
        <w:rPr>
          <w:b/>
          <w:sz w:val="28"/>
        </w:rPr>
      </w:pPr>
      <w:r>
        <w:rPr>
          <w:sz w:val="28"/>
        </w:rPr>
        <w:lastRenderedPageBreak/>
        <w:t>Duże, Małe, Mikro, Średnie</w:t>
      </w:r>
    </w:p>
    <w:p w:rsidR="00202C2D" w:rsidRDefault="004366E5">
      <w:pPr>
        <w:rPr>
          <w:b/>
          <w:sz w:val="28"/>
        </w:rPr>
      </w:pPr>
      <w:r>
        <w:rPr>
          <w:b/>
          <w:sz w:val="28"/>
        </w:rPr>
        <w:t>Wskaźniki produktu</w:t>
      </w:r>
    </w:p>
    <w:p w:rsidR="00202C2D" w:rsidRDefault="004366E5">
      <w:pPr>
        <w:rPr>
          <w:b/>
          <w:sz w:val="28"/>
        </w:rPr>
      </w:pPr>
      <w:r>
        <w:rPr>
          <w:sz w:val="28"/>
        </w:rPr>
        <w:t>WLWK-PLRO132 - Liczba obiektów dostosowanych do potrzeb osób z niepełnosprawnościami (EFRR/FST/FS)</w:t>
      </w:r>
    </w:p>
    <w:p w:rsidR="00202C2D" w:rsidRDefault="004366E5">
      <w:pPr>
        <w:rPr>
          <w:b/>
          <w:sz w:val="28"/>
        </w:rPr>
      </w:pPr>
      <w:r>
        <w:rPr>
          <w:sz w:val="28"/>
        </w:rPr>
        <w:t>WLWK-PLRO121 - Liczba wspartych przedszkoli</w:t>
      </w:r>
    </w:p>
    <w:p w:rsidR="00202C2D" w:rsidRDefault="004366E5">
      <w:pPr>
        <w:rPr>
          <w:b/>
          <w:sz w:val="28"/>
        </w:rPr>
      </w:pPr>
      <w:r>
        <w:rPr>
          <w:sz w:val="28"/>
        </w:rPr>
        <w:t>WLWK-RCO066 - Pojemność klas w nowych lub zmodernizowanych placówkach opieki nad dziećmi</w:t>
      </w:r>
    </w:p>
    <w:p w:rsidR="00202C2D" w:rsidRDefault="004366E5">
      <w:pPr>
        <w:rPr>
          <w:b/>
          <w:sz w:val="28"/>
        </w:rPr>
      </w:pPr>
      <w:r>
        <w:rPr>
          <w:b/>
          <w:sz w:val="28"/>
        </w:rPr>
        <w:t>Wskaźniki rezultatu</w:t>
      </w:r>
    </w:p>
    <w:p w:rsidR="00202C2D" w:rsidRDefault="004366E5">
      <w:pPr>
        <w:rPr>
          <w:b/>
          <w:sz w:val="28"/>
        </w:rPr>
      </w:pPr>
      <w:r>
        <w:rPr>
          <w:sz w:val="28"/>
        </w:rPr>
        <w:t>WLWK-RCR070 - Roczna liczba użytkowników nowych lub zmodernizowanych placówek opieki nad dziećmi</w:t>
      </w:r>
    </w:p>
    <w:p w:rsidR="00202C2D" w:rsidRDefault="00202C2D">
      <w:pPr>
        <w:rPr>
          <w:b/>
          <w:sz w:val="28"/>
        </w:rPr>
      </w:pPr>
    </w:p>
    <w:p w:rsidR="00202C2D" w:rsidRDefault="004366E5">
      <w:pPr>
        <w:pStyle w:val="Nagwek3"/>
        <w:rPr>
          <w:rFonts w:ascii="Calibri" w:hAnsi="Calibri" w:cs="Calibri"/>
          <w:sz w:val="32"/>
        </w:rPr>
      </w:pPr>
      <w:bookmarkStart w:id="23" w:name="_Toc132714007"/>
      <w:r>
        <w:rPr>
          <w:rFonts w:ascii="Calibri" w:hAnsi="Calibri" w:cs="Calibri"/>
          <w:sz w:val="32"/>
        </w:rPr>
        <w:t>Działanie FEPM.06.02 Infrastruktura edukacji włączającej i zawodowej</w:t>
      </w:r>
      <w:bookmarkEnd w:id="23"/>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202C2D" w:rsidRDefault="004366E5">
      <w:pPr>
        <w:rPr>
          <w:b/>
          <w:sz w:val="28"/>
        </w:rPr>
      </w:pPr>
      <w:r>
        <w:rPr>
          <w:b/>
          <w:sz w:val="28"/>
        </w:rPr>
        <w:t>Wysokość alokacji UE (EUR)</w:t>
      </w:r>
    </w:p>
    <w:p w:rsidR="00202C2D" w:rsidRDefault="004366E5">
      <w:pPr>
        <w:rPr>
          <w:b/>
          <w:sz w:val="28"/>
        </w:rPr>
      </w:pPr>
      <w:r>
        <w:rPr>
          <w:sz w:val="28"/>
        </w:rPr>
        <w:t>29 632 407,00</w:t>
      </w:r>
    </w:p>
    <w:p w:rsidR="00202C2D" w:rsidRDefault="004366E5">
      <w:pPr>
        <w:rPr>
          <w:b/>
          <w:sz w:val="28"/>
        </w:rPr>
      </w:pPr>
      <w:r>
        <w:rPr>
          <w:b/>
          <w:sz w:val="28"/>
        </w:rPr>
        <w:t>Zakres interwencji</w:t>
      </w:r>
    </w:p>
    <w:p w:rsidR="00202C2D" w:rsidRDefault="004366E5">
      <w:pPr>
        <w:rPr>
          <w:b/>
          <w:sz w:val="28"/>
        </w:rPr>
      </w:pPr>
      <w:r>
        <w:rPr>
          <w:sz w:val="28"/>
        </w:rPr>
        <w:t>122 - Infrastruktura na potrzeby szkolnictwa podstawowego i średniego, 124 - Infrastruktura na potrzeby kształcenia i szkolenia zawodowego oraz edukacji dorosłych</w:t>
      </w:r>
    </w:p>
    <w:p w:rsidR="00202C2D" w:rsidRDefault="004366E5">
      <w:pPr>
        <w:rPr>
          <w:b/>
          <w:sz w:val="28"/>
        </w:rPr>
      </w:pPr>
      <w:r>
        <w:rPr>
          <w:b/>
          <w:sz w:val="28"/>
        </w:rPr>
        <w:t>Opis działania</w:t>
      </w:r>
    </w:p>
    <w:p w:rsidR="00202C2D" w:rsidRDefault="004366E5">
      <w:pPr>
        <w:rPr>
          <w:b/>
          <w:sz w:val="28"/>
        </w:rPr>
      </w:pPr>
      <w:r>
        <w:rPr>
          <w:sz w:val="28"/>
        </w:rPr>
        <w:lastRenderedPageBreak/>
        <w:t>W ramach Działania wspierane będą projekty związane z rozwojem infrastruktury edukacji włączającej i rozwojem infrastruktury szkolnictwa zawodowego.</w:t>
      </w:r>
    </w:p>
    <w:p w:rsidR="00202C2D" w:rsidRDefault="004366E5">
      <w:pPr>
        <w:rPr>
          <w:b/>
          <w:sz w:val="28"/>
        </w:rPr>
      </w:pPr>
      <w:r>
        <w:rPr>
          <w:sz w:val="28"/>
        </w:rPr>
        <w:t>A. Projekty dotyczące infrastruktury edukacji włączającej:</w:t>
      </w:r>
    </w:p>
    <w:p w:rsidR="00202C2D" w:rsidRDefault="004366E5">
      <w:pPr>
        <w:rPr>
          <w:b/>
          <w:sz w:val="28"/>
        </w:rPr>
      </w:pPr>
      <w:r>
        <w:rPr>
          <w:sz w:val="28"/>
        </w:rP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p>
    <w:p w:rsidR="00202C2D" w:rsidRDefault="004366E5">
      <w:pPr>
        <w:rPr>
          <w:b/>
          <w:sz w:val="28"/>
        </w:rPr>
      </w:pPr>
      <w:r>
        <w:rPr>
          <w:sz w:val="28"/>
        </w:rP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p>
    <w:p w:rsidR="00202C2D" w:rsidRDefault="004366E5">
      <w:pPr>
        <w:rPr>
          <w:b/>
          <w:sz w:val="28"/>
        </w:rPr>
      </w:pPr>
      <w:r>
        <w:rPr>
          <w:sz w:val="28"/>
        </w:rPr>
        <w:t>Typy projektów:</w:t>
      </w:r>
    </w:p>
    <w:p w:rsidR="00202C2D" w:rsidRDefault="004366E5">
      <w:pPr>
        <w:rPr>
          <w:b/>
          <w:sz w:val="28"/>
        </w:rPr>
      </w:pPr>
      <w:r>
        <w:rPr>
          <w:sz w:val="28"/>
        </w:rPr>
        <w:t>1. Zakup wyposażenia trwałego, w szczególności doposażenie poradni psychologiczno-pedagogicznych w niezbędny sprzęt i urządzenia diagnostyczne, narzędzia cyfrowe, pomoce diagnostyczne, meble;</w:t>
      </w:r>
    </w:p>
    <w:p w:rsidR="00202C2D" w:rsidRDefault="004366E5">
      <w:pPr>
        <w:rPr>
          <w:b/>
          <w:sz w:val="28"/>
        </w:rPr>
      </w:pPr>
      <w:r>
        <w:rPr>
          <w:sz w:val="28"/>
        </w:rPr>
        <w:t>2. Przebudowa, roboty budowlane, remont obiektów lub pomieszczeń poradni – wyłącznie w powiązaniu z pierwszym typem projektu.</w:t>
      </w:r>
    </w:p>
    <w:p w:rsidR="00202C2D" w:rsidRDefault="004366E5">
      <w:pPr>
        <w:rPr>
          <w:b/>
          <w:sz w:val="28"/>
        </w:rPr>
      </w:pPr>
      <w:r>
        <w:rPr>
          <w:sz w:val="28"/>
        </w:rP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p>
    <w:p w:rsidR="00202C2D" w:rsidRDefault="004366E5">
      <w:pPr>
        <w:rPr>
          <w:b/>
          <w:sz w:val="28"/>
        </w:rPr>
      </w:pPr>
      <w:r>
        <w:rPr>
          <w:sz w:val="28"/>
        </w:rPr>
        <w:t>Najważniejsze warunki realizacji projektów:</w:t>
      </w:r>
    </w:p>
    <w:p w:rsidR="00202C2D" w:rsidRDefault="004366E5">
      <w:pPr>
        <w:rPr>
          <w:b/>
          <w:sz w:val="28"/>
        </w:rPr>
      </w:pPr>
      <w:r>
        <w:rPr>
          <w:sz w:val="28"/>
        </w:rPr>
        <w:t>1. Wsparcie uzyskać mogą wyłącznie placówki posiadające status poradni publicznej.</w:t>
      </w:r>
    </w:p>
    <w:p w:rsidR="00202C2D" w:rsidRDefault="004366E5">
      <w:pPr>
        <w:rPr>
          <w:b/>
          <w:sz w:val="28"/>
        </w:rPr>
      </w:pPr>
      <w:r>
        <w:rPr>
          <w:sz w:val="28"/>
        </w:rPr>
        <w:lastRenderedPageBreak/>
        <w:t xml:space="preserve">2.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lub zagrożonej wykluczeniem społecznym.</w:t>
      </w:r>
    </w:p>
    <w:p w:rsidR="00202C2D" w:rsidRDefault="004366E5">
      <w:pPr>
        <w:rPr>
          <w:b/>
          <w:sz w:val="28"/>
        </w:rPr>
      </w:pPr>
      <w:r>
        <w:rPr>
          <w:sz w:val="28"/>
        </w:rP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p>
    <w:p w:rsidR="00202C2D" w:rsidRDefault="004366E5">
      <w:pPr>
        <w:rPr>
          <w:b/>
          <w:sz w:val="28"/>
        </w:rPr>
      </w:pPr>
      <w:r>
        <w:rPr>
          <w:sz w:val="28"/>
        </w:rPr>
        <w:t>B. Projekty dotyczące rozwoju infrastruktury szkolnictwa zawodowego:</w:t>
      </w:r>
    </w:p>
    <w:p w:rsidR="00202C2D" w:rsidRDefault="004366E5">
      <w:pPr>
        <w:rPr>
          <w:b/>
          <w:sz w:val="28"/>
        </w:rPr>
      </w:pPr>
      <w:r>
        <w:rPr>
          <w:sz w:val="28"/>
        </w:rPr>
        <w:t>Celem interwencji na rzecz szkolnictwa zawodowego będzie jego dostosowanie do regionalnych i lokalnych potrzeb w zakresie rynku pracy i gospodarki (w tym związanych z Inteligentnymi Specjalizacjami Pomorza).</w:t>
      </w:r>
    </w:p>
    <w:p w:rsidR="00202C2D" w:rsidRDefault="004366E5">
      <w:pPr>
        <w:rPr>
          <w:b/>
          <w:sz w:val="28"/>
        </w:rPr>
      </w:pPr>
      <w:r>
        <w:rPr>
          <w:sz w:val="28"/>
        </w:rPr>
        <w:t>Wszystkie działania realizowane będą we współpracy z pracodawcami lub ich organizacjami.</w:t>
      </w:r>
    </w:p>
    <w:p w:rsidR="00202C2D" w:rsidRDefault="004366E5">
      <w:pPr>
        <w:rPr>
          <w:b/>
          <w:sz w:val="28"/>
        </w:rPr>
      </w:pPr>
      <w:r>
        <w:rPr>
          <w:sz w:val="28"/>
        </w:rP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dostosowania kierunków kształcenia do potrzeb rynku pracy uwzględniającymi branże kluczowe dla pomorskiej gospodarki. </w:t>
      </w:r>
    </w:p>
    <w:p w:rsidR="00202C2D" w:rsidRDefault="004366E5">
      <w:pPr>
        <w:rPr>
          <w:b/>
          <w:sz w:val="28"/>
        </w:rPr>
      </w:pPr>
      <w:r>
        <w:rPr>
          <w:sz w:val="28"/>
        </w:rPr>
        <w:t>Typy projektów:</w:t>
      </w:r>
    </w:p>
    <w:p w:rsidR="00202C2D" w:rsidRDefault="004366E5">
      <w:pPr>
        <w:rPr>
          <w:b/>
          <w:sz w:val="28"/>
        </w:rPr>
      </w:pPr>
      <w:r>
        <w:rPr>
          <w:sz w:val="28"/>
        </w:rPr>
        <w:t xml:space="preserve">1. Zakup wyposażenia trwałego, w tym doposażenie w urządzenia, sprzęt, narzędzia i pomoce dydaktyczne istniejących szkół zawodowych, meble, w szczególności pracowni kształcenia zawodowego, laboratoriów dydaktycznych, warsztatów i </w:t>
      </w:r>
      <w:proofErr w:type="spellStart"/>
      <w:r>
        <w:rPr>
          <w:sz w:val="28"/>
        </w:rPr>
        <w:t>sal</w:t>
      </w:r>
      <w:proofErr w:type="spellEnd"/>
      <w:r>
        <w:rPr>
          <w:sz w:val="28"/>
        </w:rPr>
        <w:t xml:space="preserve"> do praktycznej nauki zawodu;</w:t>
      </w:r>
    </w:p>
    <w:p w:rsidR="00202C2D" w:rsidRDefault="004366E5">
      <w:pPr>
        <w:rPr>
          <w:b/>
          <w:sz w:val="28"/>
        </w:rPr>
      </w:pPr>
      <w:r>
        <w:rPr>
          <w:sz w:val="28"/>
        </w:rPr>
        <w:t>2. Przebudowa, roboty budowlane, remont obiektów szkół zawodowych, m.in. budynków szkolnych, warsztatów - wyłącznie w powiązaniu z pierwszym typem projektu.</w:t>
      </w:r>
    </w:p>
    <w:p w:rsidR="00202C2D" w:rsidRDefault="004366E5">
      <w:pPr>
        <w:rPr>
          <w:b/>
          <w:sz w:val="28"/>
        </w:rPr>
      </w:pPr>
      <w:r>
        <w:rPr>
          <w:sz w:val="28"/>
        </w:rPr>
        <w:t>Ponadto w ramach ww. typów projektów możliwe będą:</w:t>
      </w:r>
    </w:p>
    <w:p w:rsidR="00202C2D" w:rsidRDefault="004366E5">
      <w:pPr>
        <w:rPr>
          <w:b/>
          <w:sz w:val="28"/>
        </w:rPr>
      </w:pPr>
      <w:r>
        <w:rPr>
          <w:sz w:val="28"/>
        </w:rPr>
        <w:lastRenderedPageBreak/>
        <w:t>a. doposażenie szkół i placówek zawodowych w narzędzie i technologie umożliwiające kształcenie zdalne oraz poprawę dostępności cyfrowej;</w:t>
      </w:r>
    </w:p>
    <w:p w:rsidR="00202C2D" w:rsidRDefault="004366E5">
      <w:pPr>
        <w:rPr>
          <w:b/>
          <w:sz w:val="28"/>
        </w:rPr>
      </w:pPr>
      <w:r>
        <w:rPr>
          <w:sz w:val="28"/>
        </w:rPr>
        <w:t>b. działania służące likwidacji barier architektonicznych, w szczególności w oparciu o projektowanie uniwersalne lub zastosowanie racjonalnego usprawnienia oraz uwzględniające potrzeby osób z niepełnosprawnościami;</w:t>
      </w:r>
    </w:p>
    <w:p w:rsidR="00202C2D" w:rsidRDefault="004366E5">
      <w:pPr>
        <w:rPr>
          <w:b/>
          <w:sz w:val="28"/>
        </w:rPr>
      </w:pPr>
      <w:r>
        <w:rPr>
          <w:sz w:val="28"/>
        </w:rPr>
        <w:t>Uzupełniająco możliwe będą również:</w:t>
      </w:r>
    </w:p>
    <w:p w:rsidR="00202C2D" w:rsidRDefault="004366E5">
      <w:pPr>
        <w:rPr>
          <w:b/>
          <w:sz w:val="28"/>
        </w:rPr>
      </w:pPr>
      <w:r>
        <w:rPr>
          <w:sz w:val="28"/>
        </w:rPr>
        <w:t>c. działania służące zmniejszeniu energochłonności infrastruktury i przyczyniające się do zmniejszenia kosztów jej utrzymania i osiągnięcia neutralności klimatycznej;</w:t>
      </w:r>
    </w:p>
    <w:p w:rsidR="00202C2D" w:rsidRDefault="004366E5">
      <w:pPr>
        <w:rPr>
          <w:b/>
          <w:sz w:val="28"/>
        </w:rPr>
      </w:pPr>
      <w:r>
        <w:rPr>
          <w:sz w:val="28"/>
        </w:rPr>
        <w:t>d. działania sprzyjające adaptacji do zmian klimatu poprzez zastosowanie błękitno-zielonej infrastruktury, np. zielone dachy, zielone ściany itp.;</w:t>
      </w:r>
    </w:p>
    <w:p w:rsidR="00202C2D" w:rsidRDefault="004366E5">
      <w:pPr>
        <w:rPr>
          <w:b/>
          <w:sz w:val="28"/>
        </w:rPr>
      </w:pPr>
      <w:r>
        <w:rPr>
          <w:sz w:val="28"/>
        </w:rPr>
        <w:t xml:space="preserve">e. zagospodarowanie otoczenia obiektów, w szczególności nasadzenia zieleni, elementy małej architektury.  </w:t>
      </w:r>
    </w:p>
    <w:p w:rsidR="00202C2D" w:rsidRDefault="004366E5">
      <w:pPr>
        <w:rPr>
          <w:b/>
          <w:sz w:val="28"/>
        </w:rPr>
      </w:pPr>
      <w:r>
        <w:rPr>
          <w:sz w:val="28"/>
        </w:rPr>
        <w:t>Najważniejsze warunki realizacji projektów:</w:t>
      </w:r>
    </w:p>
    <w:p w:rsidR="00202C2D" w:rsidRDefault="004366E5">
      <w:pPr>
        <w:rPr>
          <w:b/>
          <w:sz w:val="28"/>
        </w:rPr>
      </w:pPr>
      <w:r>
        <w:rPr>
          <w:sz w:val="28"/>
        </w:rPr>
        <w:t>1. Wsparcie uzyskać mogą wyłącznie organy prowadzące szkoły/placówki publiczne lub niepubliczne o uprawnieniach szkoły/placówki publicznej prowadzące kształcenie zawodowe.</w:t>
      </w:r>
    </w:p>
    <w:p w:rsidR="00202C2D" w:rsidRDefault="004366E5">
      <w:pPr>
        <w:rPr>
          <w:b/>
          <w:sz w:val="28"/>
        </w:rPr>
      </w:pPr>
      <w:r>
        <w:rPr>
          <w:sz w:val="28"/>
        </w:rPr>
        <w:t xml:space="preserve">2.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i/lub zagrożonej wykluczeniem społecznym.</w:t>
      </w:r>
    </w:p>
    <w:p w:rsidR="00202C2D" w:rsidRDefault="004366E5">
      <w:pPr>
        <w:rPr>
          <w:b/>
          <w:sz w:val="28"/>
        </w:rPr>
      </w:pPr>
      <w:r>
        <w:rPr>
          <w:sz w:val="28"/>
        </w:rPr>
        <w:t>3. Działania realizowane będą we współpracy z pracodawcami lub ich organizacjami.</w:t>
      </w:r>
    </w:p>
    <w:p w:rsidR="00202C2D" w:rsidRDefault="004366E5">
      <w:pPr>
        <w:rPr>
          <w:b/>
          <w:sz w:val="28"/>
        </w:rPr>
      </w:pPr>
      <w:r>
        <w:rPr>
          <w:sz w:val="28"/>
        </w:rPr>
        <w:t xml:space="preserve">4. Podatek VAT w projekcie jest niekwalifikowalny. </w:t>
      </w:r>
    </w:p>
    <w:p w:rsidR="00202C2D" w:rsidRDefault="004366E5">
      <w:pPr>
        <w:rPr>
          <w:b/>
          <w:sz w:val="28"/>
        </w:rPr>
      </w:pPr>
      <w:r>
        <w:rPr>
          <w:sz w:val="28"/>
        </w:rPr>
        <w:t>Preferowane będą projekty:</w:t>
      </w:r>
    </w:p>
    <w:p w:rsidR="00202C2D" w:rsidRDefault="004366E5">
      <w:pPr>
        <w:rPr>
          <w:b/>
          <w:sz w:val="28"/>
        </w:rPr>
      </w:pPr>
      <w:r>
        <w:rPr>
          <w:sz w:val="28"/>
        </w:rPr>
        <w:t>-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202C2D" w:rsidRDefault="004366E5">
      <w:pPr>
        <w:rPr>
          <w:b/>
          <w:sz w:val="28"/>
        </w:rPr>
      </w:pPr>
      <w:r>
        <w:rPr>
          <w:sz w:val="28"/>
        </w:rPr>
        <w:lastRenderedPageBreak/>
        <w:t>- Wpisujące się w Inteligentne Specjalizacje Pomorza.</w:t>
      </w:r>
    </w:p>
    <w:p w:rsidR="00202C2D" w:rsidRDefault="004366E5">
      <w:pPr>
        <w:rPr>
          <w:b/>
          <w:sz w:val="28"/>
        </w:rPr>
      </w:pPr>
      <w:r>
        <w:rPr>
          <w:sz w:val="28"/>
        </w:rP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xml:space="preserve">- równości kobiet i mężczyzn, </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xml:space="preserve">- wspierania zrównoważonego rozwoju, z uwzględnieniem zasady „nie czyń poważnych szkód” (DNSH), </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(ii).</w:t>
      </w:r>
    </w:p>
    <w:p w:rsidR="00202C2D" w:rsidRDefault="004366E5">
      <w:pPr>
        <w:rPr>
          <w:b/>
          <w:sz w:val="28"/>
        </w:rPr>
      </w:pPr>
      <w:r>
        <w:rPr>
          <w:sz w:val="28"/>
        </w:rPr>
        <w:t>Ukierunkowanie terytorialne:</w:t>
      </w:r>
    </w:p>
    <w:p w:rsidR="00202C2D" w:rsidRDefault="004366E5">
      <w:pPr>
        <w:rPr>
          <w:b/>
          <w:sz w:val="28"/>
        </w:rPr>
      </w:pPr>
      <w:r>
        <w:rPr>
          <w:sz w:val="28"/>
        </w:rPr>
        <w:t>Obszar całego województwa.</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lastRenderedPageBreak/>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202C2D" w:rsidRDefault="004366E5">
      <w:pPr>
        <w:rPr>
          <w:b/>
          <w:sz w:val="28"/>
        </w:rPr>
      </w:pPr>
      <w:r>
        <w:rPr>
          <w:b/>
          <w:sz w:val="28"/>
        </w:rPr>
        <w:t>Uproszczone metody rozliczania</w:t>
      </w:r>
    </w:p>
    <w:p w:rsidR="00202C2D" w:rsidRDefault="004366E5">
      <w:pPr>
        <w:rPr>
          <w:b/>
          <w:sz w:val="28"/>
        </w:rPr>
      </w:pPr>
      <w:r>
        <w:rPr>
          <w:sz w:val="28"/>
        </w:rPr>
        <w:t>Brak, uproszczona metoda rozliczania wydatków w oparciu o projekt budżetu [art. 53(3)(b) CPR]</w:t>
      </w:r>
    </w:p>
    <w:p w:rsidR="00202C2D" w:rsidRDefault="004366E5">
      <w:pPr>
        <w:rPr>
          <w:b/>
          <w:sz w:val="28"/>
        </w:rPr>
      </w:pPr>
      <w:r>
        <w:rPr>
          <w:b/>
          <w:sz w:val="28"/>
        </w:rPr>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0</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Instytucje nauki i edukacji, Organizacje społeczne i związki wyznaniowe, Partnerzy społeczni, Przedsiębiorstwa, Służby publiczne</w:t>
      </w:r>
    </w:p>
    <w:p w:rsidR="00202C2D" w:rsidRDefault="004366E5">
      <w:pPr>
        <w:rPr>
          <w:b/>
          <w:sz w:val="28"/>
        </w:rPr>
      </w:pPr>
      <w:r>
        <w:rPr>
          <w:b/>
          <w:sz w:val="28"/>
        </w:rPr>
        <w:t>Typ beneficjenta – szczegółowy</w:t>
      </w:r>
    </w:p>
    <w:p w:rsidR="00202C2D" w:rsidRDefault="004366E5">
      <w:pPr>
        <w:rPr>
          <w:b/>
          <w:sz w:val="28"/>
        </w:rPr>
      </w:pPr>
      <w:r>
        <w:rPr>
          <w:sz w:val="28"/>
        </w:rPr>
        <w:lastRenderedPageBreak/>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202C2D" w:rsidRDefault="004366E5">
      <w:pPr>
        <w:rPr>
          <w:b/>
          <w:sz w:val="28"/>
        </w:rPr>
      </w:pPr>
      <w:r>
        <w:rPr>
          <w:b/>
          <w:sz w:val="28"/>
        </w:rPr>
        <w:t>Grupa docelowa</w:t>
      </w:r>
    </w:p>
    <w:p w:rsidR="00202C2D" w:rsidRDefault="004366E5">
      <w:pPr>
        <w:rPr>
          <w:b/>
          <w:sz w:val="28"/>
        </w:rPr>
      </w:pPr>
      <w:r>
        <w:rPr>
          <w:sz w:val="28"/>
        </w:rPr>
        <w:t>instruktorzy praktycznej nauki zawodu, nauczyciele , osoby dorosłe nabywające dodatkowe kwalifikacje, pracodawcy, psychologowie i pedagodzy wspierający uczniów, rodzice lub opiekunowie, uczniowie szkół</w:t>
      </w:r>
    </w:p>
    <w:p w:rsidR="00202C2D" w:rsidRDefault="004366E5">
      <w:pPr>
        <w:rPr>
          <w:b/>
          <w:sz w:val="28"/>
        </w:rPr>
      </w:pPr>
      <w:r>
        <w:rPr>
          <w:b/>
          <w:sz w:val="28"/>
        </w:rPr>
        <w:t>Słowa kluczowe</w:t>
      </w:r>
    </w:p>
    <w:p w:rsidR="00202C2D" w:rsidRDefault="004366E5">
      <w:pPr>
        <w:rPr>
          <w:b/>
          <w:sz w:val="28"/>
        </w:rPr>
      </w:pPr>
      <w:r>
        <w:rPr>
          <w:sz w:val="28"/>
        </w:rPr>
        <w:t xml:space="preserve">budynek, </w:t>
      </w:r>
      <w:proofErr w:type="spellStart"/>
      <w:r>
        <w:rPr>
          <w:sz w:val="28"/>
        </w:rPr>
        <w:t>budynki_użyteczności_publicznej</w:t>
      </w:r>
      <w:proofErr w:type="spellEnd"/>
      <w:r>
        <w:rPr>
          <w:sz w:val="28"/>
        </w:rPr>
        <w:t xml:space="preserve">, </w:t>
      </w:r>
      <w:proofErr w:type="spellStart"/>
      <w:r>
        <w:rPr>
          <w:sz w:val="28"/>
        </w:rPr>
        <w:t>edukacja_włączająca</w:t>
      </w:r>
      <w:proofErr w:type="spellEnd"/>
      <w:r>
        <w:rPr>
          <w:sz w:val="28"/>
        </w:rPr>
        <w:t xml:space="preserve">, infrastruktura, </w:t>
      </w:r>
      <w:proofErr w:type="spellStart"/>
      <w:r>
        <w:rPr>
          <w:sz w:val="28"/>
        </w:rPr>
        <w:t>infrastruktura_kształcenia_zawodowego</w:t>
      </w:r>
      <w:proofErr w:type="spellEnd"/>
      <w:r>
        <w:rPr>
          <w:sz w:val="28"/>
        </w:rPr>
        <w:t xml:space="preserve">, </w:t>
      </w:r>
      <w:proofErr w:type="spellStart"/>
      <w:r>
        <w:rPr>
          <w:sz w:val="28"/>
        </w:rPr>
        <w:t>kształcenie_praktyczne</w:t>
      </w:r>
      <w:proofErr w:type="spellEnd"/>
      <w:r>
        <w:rPr>
          <w:sz w:val="28"/>
        </w:rPr>
        <w:t xml:space="preserve">, laboratorium, narzędzia, </w:t>
      </w:r>
      <w:proofErr w:type="spellStart"/>
      <w:r>
        <w:rPr>
          <w:sz w:val="28"/>
        </w:rPr>
        <w:t>renowacja_budynku</w:t>
      </w:r>
      <w:proofErr w:type="spellEnd"/>
      <w:r>
        <w:rPr>
          <w:sz w:val="28"/>
        </w:rPr>
        <w:t>, technologia</w:t>
      </w:r>
    </w:p>
    <w:p w:rsidR="00202C2D" w:rsidRDefault="004366E5">
      <w:pPr>
        <w:rPr>
          <w:b/>
          <w:sz w:val="28"/>
        </w:rPr>
      </w:pPr>
      <w:r>
        <w:rPr>
          <w:b/>
          <w:sz w:val="28"/>
        </w:rPr>
        <w:t>Wielkość podmiotu (w przypadku przedsiębiorstw)</w:t>
      </w:r>
    </w:p>
    <w:p w:rsidR="00202C2D" w:rsidRDefault="004366E5">
      <w:pPr>
        <w:rPr>
          <w:b/>
          <w:sz w:val="28"/>
        </w:rPr>
      </w:pPr>
      <w:r>
        <w:rPr>
          <w:sz w:val="28"/>
        </w:rPr>
        <w:t>Małe, Mikro, Średnie</w:t>
      </w:r>
    </w:p>
    <w:p w:rsidR="00202C2D" w:rsidRDefault="004366E5">
      <w:pPr>
        <w:rPr>
          <w:b/>
          <w:sz w:val="28"/>
        </w:rPr>
      </w:pPr>
      <w:r>
        <w:rPr>
          <w:b/>
          <w:sz w:val="28"/>
        </w:rPr>
        <w:t>Wskaźniki produktu</w:t>
      </w:r>
    </w:p>
    <w:p w:rsidR="00202C2D" w:rsidRDefault="004366E5">
      <w:pPr>
        <w:rPr>
          <w:b/>
          <w:sz w:val="28"/>
        </w:rPr>
      </w:pPr>
      <w:r>
        <w:rPr>
          <w:sz w:val="28"/>
        </w:rPr>
        <w:t>WLWK-PLRO132 - Liczba obiektów dostosowanych do potrzeb osób z niepełnosprawnościami (EFRR/FST/FS)</w:t>
      </w:r>
    </w:p>
    <w:p w:rsidR="00202C2D" w:rsidRDefault="004366E5">
      <w:pPr>
        <w:rPr>
          <w:b/>
          <w:sz w:val="28"/>
        </w:rPr>
      </w:pPr>
      <w:r>
        <w:rPr>
          <w:sz w:val="28"/>
        </w:rPr>
        <w:t>WLWK-PLRO125 - Liczba wspartych szkół</w:t>
      </w:r>
    </w:p>
    <w:p w:rsidR="00202C2D" w:rsidRDefault="004366E5">
      <w:pPr>
        <w:rPr>
          <w:b/>
          <w:sz w:val="28"/>
        </w:rPr>
      </w:pPr>
      <w:r>
        <w:rPr>
          <w:sz w:val="28"/>
        </w:rPr>
        <w:t>WLWK-RCO067 - Pojemność klas w nowych lub zmodernizowanych placówkach oświatowych</w:t>
      </w:r>
    </w:p>
    <w:p w:rsidR="00202C2D" w:rsidRDefault="004366E5">
      <w:pPr>
        <w:rPr>
          <w:b/>
          <w:sz w:val="28"/>
        </w:rPr>
      </w:pPr>
      <w:r>
        <w:rPr>
          <w:b/>
          <w:sz w:val="28"/>
        </w:rPr>
        <w:t>Wskaźniki rezultatu</w:t>
      </w:r>
    </w:p>
    <w:p w:rsidR="00202C2D" w:rsidRDefault="004366E5">
      <w:pPr>
        <w:rPr>
          <w:b/>
          <w:sz w:val="28"/>
        </w:rPr>
      </w:pPr>
      <w:r>
        <w:rPr>
          <w:sz w:val="28"/>
        </w:rPr>
        <w:t>WLWK-RCR071 - Roczna liczba użytkowników nowych lub zmodernizowanych placówek oświatowych</w:t>
      </w:r>
    </w:p>
    <w:p w:rsidR="00202C2D" w:rsidRDefault="00202C2D">
      <w:pPr>
        <w:rPr>
          <w:b/>
          <w:sz w:val="28"/>
        </w:rPr>
      </w:pPr>
    </w:p>
    <w:p w:rsidR="00202C2D" w:rsidRDefault="004366E5">
      <w:pPr>
        <w:pStyle w:val="Nagwek3"/>
        <w:rPr>
          <w:rFonts w:ascii="Calibri" w:hAnsi="Calibri" w:cs="Calibri"/>
          <w:sz w:val="32"/>
        </w:rPr>
      </w:pPr>
      <w:bookmarkStart w:id="24" w:name="_Toc132714008"/>
      <w:r>
        <w:rPr>
          <w:rFonts w:ascii="Calibri" w:hAnsi="Calibri" w:cs="Calibri"/>
          <w:sz w:val="32"/>
        </w:rPr>
        <w:lastRenderedPageBreak/>
        <w:t>Działanie FEPM.06.10 Infrastruktura kultury</w:t>
      </w:r>
      <w:bookmarkEnd w:id="24"/>
    </w:p>
    <w:p w:rsidR="00202C2D" w:rsidRDefault="00202C2D">
      <w:pPr>
        <w:rPr>
          <w:rFonts w:ascii="Calibri" w:hAnsi="Calibri"/>
          <w:sz w:val="32"/>
        </w:rPr>
      </w:pPr>
    </w:p>
    <w:p w:rsidR="00202C2D" w:rsidRDefault="004366E5">
      <w:pPr>
        <w:rPr>
          <w:b/>
          <w:sz w:val="28"/>
        </w:rPr>
      </w:pPr>
      <w:r>
        <w:rPr>
          <w:b/>
          <w:sz w:val="28"/>
        </w:rPr>
        <w:t>Cel szczegółowy</w:t>
      </w:r>
    </w:p>
    <w:p w:rsidR="00202C2D" w:rsidRDefault="004366E5">
      <w:pPr>
        <w:rPr>
          <w:b/>
          <w:sz w:val="28"/>
        </w:rPr>
      </w:pPr>
      <w:r>
        <w:rPr>
          <w:sz w:val="28"/>
        </w:rPr>
        <w:t>EFRR.CP4.VI - Wzmacnianie roli kultury i zrównoważonej turystyki w rozwoju gospodarczym, włączeniu społecznym i innowacjach społecznych</w:t>
      </w:r>
    </w:p>
    <w:p w:rsidR="00202C2D" w:rsidRDefault="004366E5">
      <w:pPr>
        <w:rPr>
          <w:b/>
          <w:sz w:val="28"/>
        </w:rPr>
      </w:pPr>
      <w:r>
        <w:rPr>
          <w:b/>
          <w:sz w:val="28"/>
        </w:rPr>
        <w:t>Wysokość alokacji UE (EUR)</w:t>
      </w:r>
    </w:p>
    <w:p w:rsidR="00202C2D" w:rsidRDefault="004366E5">
      <w:pPr>
        <w:rPr>
          <w:b/>
          <w:sz w:val="28"/>
        </w:rPr>
      </w:pPr>
      <w:r>
        <w:rPr>
          <w:sz w:val="28"/>
        </w:rPr>
        <w:t>25 220 431,00</w:t>
      </w:r>
    </w:p>
    <w:p w:rsidR="00202C2D" w:rsidRDefault="004366E5">
      <w:pPr>
        <w:rPr>
          <w:b/>
          <w:sz w:val="28"/>
        </w:rPr>
      </w:pPr>
      <w:r>
        <w:rPr>
          <w:b/>
          <w:sz w:val="28"/>
        </w:rPr>
        <w:t>Zakres interwencji</w:t>
      </w:r>
    </w:p>
    <w:p w:rsidR="00202C2D" w:rsidRDefault="004366E5">
      <w:pPr>
        <w:rPr>
          <w:b/>
          <w:sz w:val="28"/>
        </w:rPr>
      </w:pPr>
      <w:r>
        <w:rPr>
          <w:sz w:val="28"/>
        </w:rP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202C2D" w:rsidRDefault="004366E5">
      <w:pPr>
        <w:rPr>
          <w:b/>
          <w:sz w:val="28"/>
        </w:rPr>
      </w:pPr>
      <w:r>
        <w:rPr>
          <w:b/>
          <w:sz w:val="28"/>
        </w:rPr>
        <w:t>Opis działania</w:t>
      </w:r>
    </w:p>
    <w:p w:rsidR="00202C2D" w:rsidRDefault="004366E5">
      <w:pPr>
        <w:rPr>
          <w:b/>
          <w:sz w:val="28"/>
        </w:rPr>
      </w:pPr>
      <w:r>
        <w:rPr>
          <w:sz w:val="28"/>
        </w:rP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p>
    <w:p w:rsidR="00202C2D" w:rsidRDefault="004366E5">
      <w:pPr>
        <w:rPr>
          <w:b/>
          <w:sz w:val="28"/>
        </w:rPr>
      </w:pPr>
      <w:r>
        <w:rPr>
          <w:sz w:val="28"/>
        </w:rPr>
        <w:t xml:space="preserve">- rozwijania aktywności, wzmacniania włączenia społecznego i rozwoju gospodarczego; </w:t>
      </w:r>
    </w:p>
    <w:p w:rsidR="00202C2D" w:rsidRDefault="004366E5">
      <w:pPr>
        <w:rPr>
          <w:b/>
          <w:sz w:val="28"/>
        </w:rPr>
      </w:pPr>
      <w:r>
        <w:rPr>
          <w:sz w:val="28"/>
        </w:rPr>
        <w:t>- integracji społeczności lokalnej;</w:t>
      </w:r>
    </w:p>
    <w:p w:rsidR="00202C2D" w:rsidRDefault="004366E5">
      <w:pPr>
        <w:rPr>
          <w:b/>
          <w:sz w:val="28"/>
        </w:rPr>
      </w:pPr>
      <w:r>
        <w:rPr>
          <w:sz w:val="28"/>
        </w:rPr>
        <w:t>- zwiększenia uczestnictwa mieszkańców w kulturze;</w:t>
      </w:r>
    </w:p>
    <w:p w:rsidR="00202C2D" w:rsidRDefault="004366E5">
      <w:pPr>
        <w:rPr>
          <w:b/>
          <w:sz w:val="28"/>
        </w:rPr>
      </w:pPr>
      <w:r>
        <w:rPr>
          <w:sz w:val="28"/>
        </w:rPr>
        <w:t>- poprawy jakości oferty kulturalnej.</w:t>
      </w:r>
    </w:p>
    <w:p w:rsidR="00202C2D" w:rsidRDefault="004366E5">
      <w:pPr>
        <w:rPr>
          <w:b/>
          <w:sz w:val="28"/>
        </w:rPr>
      </w:pPr>
      <w:r>
        <w:rPr>
          <w:sz w:val="28"/>
        </w:rPr>
        <w:t xml:space="preserve">Typy projektów: </w:t>
      </w:r>
    </w:p>
    <w:p w:rsidR="00202C2D" w:rsidRDefault="004366E5">
      <w:pPr>
        <w:rPr>
          <w:b/>
          <w:sz w:val="28"/>
        </w:rPr>
      </w:pPr>
      <w:r>
        <w:rPr>
          <w:sz w:val="28"/>
        </w:rPr>
        <w:lastRenderedPageBreak/>
        <w:t>1. Budowa (wyłącznie w wyjątkowych i uzasadnionych przypadkach), przebudowa, rozbudowa lub remont infrastruktury kultury służącej prowadzeniu działalności kulturalnej wraz z obowiązkowymi działaniami w zakresie edukacji kulturalnej.</w:t>
      </w:r>
    </w:p>
    <w:p w:rsidR="00202C2D" w:rsidRDefault="004366E5">
      <w:pPr>
        <w:rPr>
          <w:b/>
          <w:sz w:val="28"/>
        </w:rPr>
      </w:pPr>
      <w:r>
        <w:rPr>
          <w:sz w:val="28"/>
        </w:rP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p>
    <w:p w:rsidR="00202C2D" w:rsidRDefault="004366E5">
      <w:pPr>
        <w:rPr>
          <w:b/>
          <w:sz w:val="28"/>
        </w:rPr>
      </w:pPr>
      <w:r>
        <w:rPr>
          <w:sz w:val="28"/>
        </w:rP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p>
    <w:p w:rsidR="00202C2D" w:rsidRDefault="004366E5">
      <w:pPr>
        <w:rPr>
          <w:b/>
          <w:sz w:val="28"/>
        </w:rPr>
      </w:pPr>
      <w:r>
        <w:rPr>
          <w:sz w:val="28"/>
        </w:rPr>
        <w:t>Ponadto, w ramach ww. typów projektów możliwe będą:</w:t>
      </w:r>
    </w:p>
    <w:p w:rsidR="00202C2D" w:rsidRDefault="004366E5">
      <w:pPr>
        <w:rPr>
          <w:b/>
          <w:sz w:val="28"/>
        </w:rPr>
      </w:pPr>
      <w:r>
        <w:rPr>
          <w:sz w:val="28"/>
        </w:rPr>
        <w:t>a. zakup trwałego wyposażenia obiektów;</w:t>
      </w:r>
    </w:p>
    <w:p w:rsidR="00202C2D" w:rsidRDefault="004366E5">
      <w:pPr>
        <w:rPr>
          <w:b/>
          <w:sz w:val="28"/>
        </w:rPr>
      </w:pPr>
      <w:r>
        <w:rPr>
          <w:sz w:val="28"/>
        </w:rPr>
        <w:t>b. tworzenie treści cyfrowych prowadzących do upowszechnienia zasobów kultury, w tym działania dotyczące digitalizacji zasobów, zwiedzanie on-line, itp.;</w:t>
      </w:r>
    </w:p>
    <w:p w:rsidR="00202C2D" w:rsidRDefault="004366E5">
      <w:pPr>
        <w:rPr>
          <w:b/>
          <w:sz w:val="28"/>
        </w:rPr>
      </w:pPr>
      <w:r>
        <w:rPr>
          <w:sz w:val="28"/>
        </w:rP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p>
    <w:p w:rsidR="00202C2D" w:rsidRDefault="004366E5">
      <w:pPr>
        <w:rPr>
          <w:b/>
          <w:sz w:val="28"/>
        </w:rPr>
      </w:pPr>
      <w:r>
        <w:rPr>
          <w:sz w:val="28"/>
        </w:rPr>
        <w:t>Uzupełniająco możliwe będą również:</w:t>
      </w:r>
    </w:p>
    <w:p w:rsidR="00202C2D" w:rsidRDefault="004366E5">
      <w:pPr>
        <w:rPr>
          <w:b/>
          <w:sz w:val="28"/>
        </w:rPr>
      </w:pPr>
      <w:r>
        <w:rPr>
          <w:sz w:val="28"/>
        </w:rPr>
        <w:t>d. działania służące zmniejszeniu energochłonności infrastruktury i przyczyniające się do zmniejszenia kosztów jej utrzymania i osiągnięcia neutralności klimatycznej;</w:t>
      </w:r>
    </w:p>
    <w:p w:rsidR="00202C2D" w:rsidRDefault="004366E5">
      <w:pPr>
        <w:rPr>
          <w:b/>
          <w:sz w:val="28"/>
        </w:rPr>
      </w:pPr>
      <w:r>
        <w:rPr>
          <w:sz w:val="28"/>
        </w:rPr>
        <w:t>e. działania sprzyjające adaptacji do zmian klimatu poprzez zastosowanie błękitno-zielonej infrastruktury, np. zielone dachy, zielone ściany, itp.;</w:t>
      </w:r>
    </w:p>
    <w:p w:rsidR="00202C2D" w:rsidRDefault="004366E5">
      <w:pPr>
        <w:rPr>
          <w:b/>
          <w:sz w:val="28"/>
        </w:rPr>
      </w:pPr>
      <w:r>
        <w:rPr>
          <w:sz w:val="28"/>
        </w:rPr>
        <w:t>f. zagospodarowanie otoczenia obiektów, w szczególności nasadzenia zieleni, elementy małej architektury;</w:t>
      </w:r>
    </w:p>
    <w:p w:rsidR="00202C2D" w:rsidRDefault="004366E5">
      <w:pPr>
        <w:rPr>
          <w:b/>
          <w:sz w:val="28"/>
        </w:rPr>
      </w:pPr>
      <w:r>
        <w:rPr>
          <w:sz w:val="28"/>
        </w:rPr>
        <w:lastRenderedPageBreak/>
        <w:t>g. w ramach finansowania krzyżowego (cross –</w:t>
      </w:r>
      <w:proofErr w:type="spellStart"/>
      <w:r>
        <w:rPr>
          <w:sz w:val="28"/>
        </w:rPr>
        <w:t>financingu</w:t>
      </w:r>
      <w:proofErr w:type="spellEnd"/>
      <w:r>
        <w:rPr>
          <w:sz w:val="28"/>
        </w:rPr>
        <w:t xml:space="preserve">) – działania na rzecz rozwijania aktywności, wzmacniania włączenia społecznego i rozwoju gospodarczego lub integracji społeczności lokalnej, prowadzące do powstania nowej oferty kulturalno-edukacyjnej.  </w:t>
      </w:r>
    </w:p>
    <w:p w:rsidR="00202C2D" w:rsidRDefault="004366E5">
      <w:pPr>
        <w:rPr>
          <w:b/>
          <w:sz w:val="28"/>
        </w:rPr>
      </w:pPr>
      <w:r>
        <w:rPr>
          <w:sz w:val="28"/>
        </w:rPr>
        <w:t>Najważniejsze warunki realizacji projektów:</w:t>
      </w:r>
    </w:p>
    <w:p w:rsidR="00202C2D" w:rsidRDefault="004366E5">
      <w:pPr>
        <w:rPr>
          <w:b/>
          <w:sz w:val="28"/>
        </w:rPr>
      </w:pPr>
      <w:r>
        <w:rPr>
          <w:sz w:val="28"/>
        </w:rPr>
        <w:t>1. Ze wsparcia wykluczone będą projekty realizowane przez państwowe instytucje kultury, instytucje kultury współprowadzone przez administrację rządową z jednostkami samorządu terytorialnego, państwowe szkoły i uczelnie artystyczne.</w:t>
      </w:r>
    </w:p>
    <w:p w:rsidR="00202C2D" w:rsidRDefault="004366E5">
      <w:pPr>
        <w:rPr>
          <w:b/>
          <w:sz w:val="28"/>
        </w:rPr>
      </w:pPr>
      <w:r>
        <w:rPr>
          <w:sz w:val="28"/>
        </w:rPr>
        <w:t>2. Wsparcie uzyskać mogą wyłącznie projekty które:</w:t>
      </w:r>
    </w:p>
    <w:p w:rsidR="00202C2D" w:rsidRDefault="004366E5">
      <w:pPr>
        <w:rPr>
          <w:b/>
          <w:sz w:val="28"/>
        </w:rPr>
      </w:pPr>
      <w:r>
        <w:rPr>
          <w:sz w:val="28"/>
        </w:rPr>
        <w:t>a. poprzedzone zostały analizą popytu i oceną potrzeb w celu ograniczenia ryzyka nieefektywności;</w:t>
      </w:r>
    </w:p>
    <w:p w:rsidR="00202C2D" w:rsidRDefault="004366E5">
      <w:pPr>
        <w:rPr>
          <w:b/>
          <w:sz w:val="28"/>
        </w:rPr>
      </w:pPr>
      <w:r>
        <w:rPr>
          <w:sz w:val="28"/>
        </w:rPr>
        <w:t>b. są skoordynowane z projektami realizowanymi na sąsiadujących obszarach, unikając nakładania się i konkurencji;</w:t>
      </w:r>
    </w:p>
    <w:p w:rsidR="00202C2D" w:rsidRDefault="004366E5">
      <w:pPr>
        <w:rPr>
          <w:b/>
          <w:sz w:val="28"/>
        </w:rPr>
      </w:pPr>
      <w:r>
        <w:rPr>
          <w:sz w:val="28"/>
        </w:rPr>
        <w:t>c. mają wpływ na szerokie stymulowanie aktywności kulturalnej, jak również są trwałe i będą utrzymywane po ich zakończeniu;</w:t>
      </w:r>
    </w:p>
    <w:p w:rsidR="00202C2D" w:rsidRDefault="004366E5">
      <w:pPr>
        <w:rPr>
          <w:b/>
          <w:sz w:val="28"/>
        </w:rPr>
      </w:pPr>
      <w:r>
        <w:rPr>
          <w:sz w:val="28"/>
        </w:rPr>
        <w:t>d. wypracowane przy aktywnym udziale mieszkańców  i uwzględniające potrzeby lokalnych odbiorców.</w:t>
      </w:r>
    </w:p>
    <w:p w:rsidR="00202C2D" w:rsidRDefault="004366E5">
      <w:pPr>
        <w:rPr>
          <w:b/>
          <w:sz w:val="28"/>
        </w:rPr>
      </w:pPr>
      <w:r>
        <w:rPr>
          <w:sz w:val="28"/>
        </w:rPr>
        <w:t>3. Projekty powinny zawierać mechanizmy zapewniające samofinansowanie się wspartych obiektów (np. poprzez zaangażowanie środków prywatnych).</w:t>
      </w:r>
    </w:p>
    <w:p w:rsidR="00202C2D" w:rsidRDefault="004366E5">
      <w:pPr>
        <w:rPr>
          <w:b/>
          <w:sz w:val="28"/>
        </w:rPr>
      </w:pPr>
      <w:r>
        <w:rPr>
          <w:sz w:val="28"/>
        </w:rPr>
        <w:t>4. Budowa nowej infrastruktury kultury będzie możliwa wyłącznie w wyjątkowych, uzasadnionych okolicznościach potwierdzonych analizą potrzeb, gdy zapewnienie jej nie będzie możliwe w inny sposób.</w:t>
      </w:r>
    </w:p>
    <w:p w:rsidR="00202C2D" w:rsidRDefault="004366E5">
      <w:pPr>
        <w:rPr>
          <w:b/>
          <w:sz w:val="28"/>
        </w:rPr>
      </w:pPr>
      <w:r>
        <w:rPr>
          <w:sz w:val="28"/>
        </w:rP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p>
    <w:p w:rsidR="00202C2D" w:rsidRDefault="004366E5">
      <w:pPr>
        <w:rPr>
          <w:b/>
          <w:sz w:val="28"/>
        </w:rPr>
      </w:pPr>
      <w:r>
        <w:rPr>
          <w:sz w:val="28"/>
        </w:rPr>
        <w:lastRenderedPageBreak/>
        <w:t>6. W przypadku projektów realizowanych w miastach:</w:t>
      </w:r>
    </w:p>
    <w:p w:rsidR="00202C2D" w:rsidRDefault="004366E5">
      <w:pPr>
        <w:rPr>
          <w:b/>
          <w:sz w:val="28"/>
        </w:rPr>
      </w:pPr>
      <w:r>
        <w:rPr>
          <w:sz w:val="28"/>
        </w:rPr>
        <w:t xml:space="preserve">- projekty te nie mogą obejmować budowy nowych dróg lub parkingów wykorzystywanych przez pojazdy samochodowe ani prowadzić do zwiększenia ich pojemności lub przepustowości; </w:t>
      </w:r>
    </w:p>
    <w:p w:rsidR="00202C2D" w:rsidRDefault="004366E5">
      <w:pPr>
        <w:rPr>
          <w:b/>
          <w:sz w:val="28"/>
        </w:rPr>
      </w:pPr>
      <w:r>
        <w:rPr>
          <w:sz w:val="28"/>
        </w:rPr>
        <w:t>- kwalifikowalne będą wyłącznie niezbędne miejsca postojowe użytkowane przez osoby z niepełnosprawnościami.</w:t>
      </w:r>
    </w:p>
    <w:p w:rsidR="00202C2D" w:rsidRDefault="004366E5">
      <w:pPr>
        <w:rPr>
          <w:b/>
          <w:sz w:val="28"/>
        </w:rPr>
      </w:pPr>
      <w:r>
        <w:rPr>
          <w:sz w:val="28"/>
        </w:rPr>
        <w:t>7. Projekty powinny być komplementarne z działaniami realizowanymi w ramach EFS+, w szczególności w zakresie podnoszenia kompetencji pracowników kultury przewidzianymi w szczególności w ramach Działania 5.9. Kształcenie ustawiczne.</w:t>
      </w:r>
    </w:p>
    <w:p w:rsidR="00202C2D" w:rsidRDefault="004366E5">
      <w:pPr>
        <w:rPr>
          <w:b/>
          <w:sz w:val="28"/>
        </w:rPr>
      </w:pPr>
      <w:r>
        <w:rPr>
          <w:sz w:val="28"/>
        </w:rPr>
        <w:t xml:space="preserve">8. Projekty powinny nawiązywać do koncepcji Nowego Europejskiego </w:t>
      </w:r>
      <w:proofErr w:type="spellStart"/>
      <w:r>
        <w:rPr>
          <w:sz w:val="28"/>
        </w:rPr>
        <w:t>Bauhausu</w:t>
      </w:r>
      <w:proofErr w:type="spellEnd"/>
      <w:r>
        <w:rPr>
          <w:sz w:val="28"/>
        </w:rPr>
        <w:t>.</w:t>
      </w:r>
    </w:p>
    <w:p w:rsidR="00202C2D" w:rsidRDefault="004366E5">
      <w:pPr>
        <w:rPr>
          <w:b/>
          <w:sz w:val="28"/>
        </w:rPr>
      </w:pPr>
      <w:r>
        <w:rPr>
          <w:sz w:val="28"/>
        </w:rPr>
        <w:t>9. Projekty dotyczące obiektów i przestrzeni wpisanych do rejestru zabytków powinny uwzględniać zalecenia wynikające z dokumentu „Europejskie zasady jakości dla finansowanych przez UE interwencji o potencjalnym wpływie na dziedzictwo kulturowe”.</w:t>
      </w:r>
    </w:p>
    <w:p w:rsidR="00202C2D" w:rsidRDefault="004366E5">
      <w:pPr>
        <w:rPr>
          <w:b/>
          <w:sz w:val="28"/>
        </w:rPr>
      </w:pPr>
      <w:r>
        <w:rPr>
          <w:sz w:val="28"/>
        </w:rPr>
        <w:t xml:space="preserve">10. Podatek VAT w projekcie jest niekwalifikowalny. </w:t>
      </w:r>
    </w:p>
    <w:p w:rsidR="00202C2D" w:rsidRDefault="004366E5">
      <w:pPr>
        <w:rPr>
          <w:b/>
          <w:sz w:val="28"/>
        </w:rPr>
      </w:pPr>
      <w:r>
        <w:rPr>
          <w:sz w:val="28"/>
        </w:rPr>
        <w:t>11. Projekty na każdym etapie realizacji inwestycji muszą zapewnić poszanowanie praw podstawowych oraz przestrzeganie Karty praw podstawowych Unii Europejskiej i być zgodne z zasadami horyzontalnymi dotyczącymi:</w:t>
      </w:r>
    </w:p>
    <w:p w:rsidR="00202C2D" w:rsidRDefault="004366E5">
      <w:pPr>
        <w:rPr>
          <w:b/>
          <w:sz w:val="28"/>
        </w:rPr>
      </w:pPr>
      <w:r>
        <w:rPr>
          <w:sz w:val="28"/>
        </w:rPr>
        <w:t>- równości kobiet i mężczyzn,</w:t>
      </w:r>
    </w:p>
    <w:p w:rsidR="00202C2D" w:rsidRDefault="004366E5">
      <w:pPr>
        <w:rPr>
          <w:b/>
          <w:sz w:val="28"/>
        </w:rPr>
      </w:pPr>
      <w:r>
        <w:rPr>
          <w:sz w:val="28"/>
        </w:rPr>
        <w:t>- zapobiegania wszelkiej dyskryminacji,</w:t>
      </w:r>
    </w:p>
    <w:p w:rsidR="00202C2D" w:rsidRDefault="004366E5">
      <w:pPr>
        <w:rPr>
          <w:b/>
          <w:sz w:val="28"/>
        </w:rPr>
      </w:pPr>
      <w:r>
        <w:rPr>
          <w:sz w:val="28"/>
        </w:rPr>
        <w:t>- zapewnienia dostępności dla osób o ograniczonej mobilności oraz z niepełnosprawnościami,</w:t>
      </w:r>
    </w:p>
    <w:p w:rsidR="00202C2D" w:rsidRDefault="004366E5">
      <w:pPr>
        <w:rPr>
          <w:b/>
          <w:sz w:val="28"/>
        </w:rPr>
      </w:pPr>
      <w:r>
        <w:rPr>
          <w:sz w:val="28"/>
        </w:rPr>
        <w:t>- wspierania zrównoważonego rozwoju, z uwzględnieniem zasady „nie czyń poważnych szkód” (DNSH),</w:t>
      </w:r>
    </w:p>
    <w:p w:rsidR="00202C2D" w:rsidRDefault="004366E5">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w:t>
      </w:r>
      <w:r>
        <w:rPr>
          <w:sz w:val="28"/>
        </w:rPr>
        <w:lastRenderedPageBreak/>
        <w:t>zasady DNSH dla projektu programu Fundusze Europejskie dla Pomorza 2021-2027” w zakresie celu szczegółowego 4 (vi).</w:t>
      </w:r>
    </w:p>
    <w:p w:rsidR="00202C2D" w:rsidRDefault="004366E5">
      <w:pPr>
        <w:rPr>
          <w:b/>
          <w:sz w:val="28"/>
        </w:rPr>
      </w:pPr>
      <w:r>
        <w:rPr>
          <w:sz w:val="28"/>
        </w:rPr>
        <w:t>12. Dla pierwszego typu projektu, w ramach edukacji kulturalnej:</w:t>
      </w:r>
    </w:p>
    <w:p w:rsidR="00202C2D" w:rsidRDefault="004366E5">
      <w:pPr>
        <w:rPr>
          <w:b/>
          <w:sz w:val="28"/>
        </w:rPr>
      </w:pPr>
      <w:r>
        <w:rPr>
          <w:sz w:val="28"/>
        </w:rPr>
        <w:t>- realizowane działania stanowią finansowanie krzyżowe (cross-</w:t>
      </w:r>
      <w:proofErr w:type="spellStart"/>
      <w:r>
        <w:rPr>
          <w:sz w:val="28"/>
        </w:rPr>
        <w:t>financing</w:t>
      </w:r>
      <w:proofErr w:type="spellEnd"/>
      <w:r>
        <w:rPr>
          <w:sz w:val="28"/>
        </w:rPr>
        <w:t>) w projekcie;</w:t>
      </w:r>
    </w:p>
    <w:p w:rsidR="00202C2D" w:rsidRDefault="004366E5">
      <w:pPr>
        <w:rPr>
          <w:b/>
          <w:sz w:val="28"/>
        </w:rPr>
      </w:pPr>
      <w:r>
        <w:rPr>
          <w:sz w:val="28"/>
        </w:rPr>
        <w:t>- nie można finansować obecnej i bieżącej działalności instytucji, a także jednorazowych wydarzeń;</w:t>
      </w:r>
    </w:p>
    <w:p w:rsidR="00202C2D" w:rsidRDefault="004366E5">
      <w:pPr>
        <w:rPr>
          <w:b/>
          <w:sz w:val="28"/>
        </w:rPr>
      </w:pPr>
      <w:r>
        <w:rPr>
          <w:sz w:val="28"/>
        </w:rPr>
        <w:t xml:space="preserve">- przedsięwzięcia edukacyjne powinny mieć charakter nowych i cyklicznych lub ciągłych działań wypracowanych wspólnie ze społecznością lokalną i przyczyniać się do wzrostu wiedzy, zmiany </w:t>
      </w:r>
      <w:proofErr w:type="spellStart"/>
      <w:r>
        <w:rPr>
          <w:sz w:val="28"/>
        </w:rPr>
        <w:t>zachowań</w:t>
      </w:r>
      <w:proofErr w:type="spellEnd"/>
      <w:r>
        <w:rPr>
          <w:sz w:val="28"/>
        </w:rPr>
        <w:t xml:space="preserve"> i postaw w obszarze kultury i tożsamości kulturalnej oraz wzmacniania roli nowych technologii w budowaniu oferty instytucji kultury;</w:t>
      </w:r>
    </w:p>
    <w:p w:rsidR="00202C2D" w:rsidRDefault="004366E5">
      <w:pPr>
        <w:rPr>
          <w:b/>
          <w:sz w:val="28"/>
        </w:rPr>
      </w:pPr>
      <w:r>
        <w:rPr>
          <w:sz w:val="28"/>
        </w:rPr>
        <w:t>- możliwe jest kwalifikowanie kosztów personelu bezpośredniego (np. animatorów, instruktorów);</w:t>
      </w:r>
    </w:p>
    <w:p w:rsidR="00202C2D" w:rsidRDefault="004366E5">
      <w:pPr>
        <w:rPr>
          <w:b/>
          <w:sz w:val="28"/>
        </w:rPr>
      </w:pPr>
      <w:r>
        <w:rPr>
          <w:sz w:val="28"/>
        </w:rPr>
        <w:t>- pozostałe wydatki niezbędne do prowadzenia przedsięwzięcia edukacyjnego (inne niż wynagrodzenia personelu bezpośredniego, o których mowa wyżej)  rozliczane będą w sposób uproszczony – jako 40% kosztów kwalifikowalnych tych wynagrodzeń.</w:t>
      </w:r>
    </w:p>
    <w:p w:rsidR="00202C2D" w:rsidRDefault="004366E5">
      <w:pPr>
        <w:rPr>
          <w:b/>
          <w:sz w:val="28"/>
        </w:rPr>
      </w:pPr>
      <w:r>
        <w:rPr>
          <w:sz w:val="28"/>
        </w:rPr>
        <w:t>13. Dla drugiego typu projektu:</w:t>
      </w:r>
    </w:p>
    <w:p w:rsidR="00202C2D" w:rsidRDefault="004366E5">
      <w:pPr>
        <w:rPr>
          <w:b/>
          <w:sz w:val="28"/>
        </w:rPr>
      </w:pPr>
      <w:r>
        <w:rPr>
          <w:sz w:val="28"/>
        </w:rPr>
        <w:t>- wykluczone są inwestycje w zabytkowe obiekty przeznaczone na cele administracyjne (np. urzędy gmin, miast);</w:t>
      </w:r>
    </w:p>
    <w:p w:rsidR="00202C2D" w:rsidRDefault="004366E5">
      <w:pPr>
        <w:rPr>
          <w:b/>
          <w:sz w:val="28"/>
        </w:rPr>
      </w:pPr>
      <w:r>
        <w:rPr>
          <w:sz w:val="28"/>
        </w:rPr>
        <w:t>- obiekt zabytkowy będący przedmiotem projektu musi być ogólnodostępny dla wszystkich potencjalnych użytkowników w sposób niedyskryminujący żadnych grup społecznych.</w:t>
      </w:r>
    </w:p>
    <w:p w:rsidR="00202C2D" w:rsidRDefault="004366E5">
      <w:pPr>
        <w:rPr>
          <w:b/>
          <w:sz w:val="28"/>
        </w:rPr>
      </w:pPr>
      <w:r>
        <w:rPr>
          <w:sz w:val="28"/>
        </w:rPr>
        <w:t>Ukierunkowanie terytorialne:</w:t>
      </w:r>
    </w:p>
    <w:p w:rsidR="00202C2D" w:rsidRDefault="004366E5">
      <w:pPr>
        <w:rPr>
          <w:b/>
          <w:sz w:val="28"/>
        </w:rPr>
      </w:pPr>
      <w:r>
        <w:rPr>
          <w:sz w:val="28"/>
        </w:rPr>
        <w:t>Obszar całego województwa.</w:t>
      </w:r>
    </w:p>
    <w:p w:rsidR="00202C2D" w:rsidRDefault="004366E5">
      <w:pPr>
        <w:rPr>
          <w:b/>
          <w:sz w:val="28"/>
        </w:rPr>
      </w:pPr>
      <w:r>
        <w:rPr>
          <w:sz w:val="28"/>
        </w:rPr>
        <w:t>Preferowane będą projekty:</w:t>
      </w:r>
    </w:p>
    <w:p w:rsidR="00202C2D" w:rsidRDefault="004366E5">
      <w:pPr>
        <w:rPr>
          <w:b/>
          <w:sz w:val="28"/>
        </w:rPr>
      </w:pPr>
      <w:r>
        <w:rPr>
          <w:sz w:val="28"/>
        </w:rPr>
        <w:lastRenderedPageBreak/>
        <w:t>- uzgodnione w ramach Zintegrowanych Porozumień Terytorialnych;</w:t>
      </w:r>
    </w:p>
    <w:p w:rsidR="00202C2D" w:rsidRDefault="004366E5">
      <w:pPr>
        <w:rPr>
          <w:b/>
          <w:sz w:val="28"/>
        </w:rPr>
      </w:pPr>
      <w:r>
        <w:rPr>
          <w:sz w:val="28"/>
        </w:rPr>
        <w:t>- dotyczące wsparcia istniejącej infrastruktury – pierwszy z typów projektów wskazanych powyżej;</w:t>
      </w:r>
    </w:p>
    <w:p w:rsidR="00202C2D" w:rsidRDefault="004366E5">
      <w:pPr>
        <w:rPr>
          <w:b/>
          <w:sz w:val="28"/>
        </w:rPr>
      </w:pPr>
      <w:r>
        <w:rPr>
          <w:sz w:val="28"/>
        </w:rPr>
        <w:t>- realizowane na obszarach koncentracji charakterystycznych dla regionu elementów dziedzictwa kulturowego – drugi i trzeci z typów projektów wskazanych powyżej.</w:t>
      </w:r>
    </w:p>
    <w:p w:rsidR="00202C2D" w:rsidRDefault="004366E5">
      <w:pPr>
        <w:rPr>
          <w:b/>
          <w:sz w:val="28"/>
        </w:rPr>
      </w:pPr>
      <w:r>
        <w:rPr>
          <w:b/>
          <w:sz w:val="28"/>
        </w:rPr>
        <w:t>Maksymalny % poziom dofinansowania UE w projekcie</w:t>
      </w:r>
    </w:p>
    <w:p w:rsidR="00202C2D" w:rsidRDefault="004366E5">
      <w:pPr>
        <w:rPr>
          <w:b/>
          <w:sz w:val="28"/>
        </w:rPr>
      </w:pPr>
      <w:r>
        <w:rPr>
          <w:sz w:val="28"/>
        </w:rPr>
        <w:t>85</w:t>
      </w:r>
    </w:p>
    <w:p w:rsidR="00202C2D" w:rsidRDefault="004366E5">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202C2D" w:rsidRDefault="004366E5">
      <w:pPr>
        <w:rPr>
          <w:b/>
          <w:sz w:val="28"/>
        </w:rPr>
      </w:pPr>
      <w:r>
        <w:rPr>
          <w:sz w:val="28"/>
        </w:rPr>
        <w:t>85</w:t>
      </w:r>
    </w:p>
    <w:p w:rsidR="00202C2D" w:rsidRDefault="004366E5">
      <w:pPr>
        <w:rPr>
          <w:b/>
          <w:sz w:val="28"/>
        </w:rPr>
      </w:pPr>
      <w:r>
        <w:rPr>
          <w:b/>
          <w:sz w:val="28"/>
        </w:rPr>
        <w:t>Pomoc publiczna – unijna podstawa prawna</w:t>
      </w:r>
    </w:p>
    <w:p w:rsidR="00202C2D" w:rsidRDefault="004366E5">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202C2D" w:rsidRDefault="004366E5">
      <w:pPr>
        <w:rPr>
          <w:b/>
          <w:sz w:val="28"/>
        </w:rPr>
      </w:pPr>
      <w:r>
        <w:rPr>
          <w:b/>
          <w:sz w:val="28"/>
        </w:rPr>
        <w:t>Pomoc publiczna – krajowa podstawa prawna</w:t>
      </w:r>
    </w:p>
    <w:p w:rsidR="00202C2D" w:rsidRDefault="004366E5">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202C2D" w:rsidRDefault="004366E5">
      <w:pPr>
        <w:rPr>
          <w:b/>
          <w:sz w:val="28"/>
        </w:rPr>
      </w:pPr>
      <w:r>
        <w:rPr>
          <w:b/>
          <w:sz w:val="28"/>
        </w:rPr>
        <w:t>Uproszczone metody rozliczania</w:t>
      </w:r>
    </w:p>
    <w:p w:rsidR="00202C2D" w:rsidRDefault="004366E5">
      <w:pPr>
        <w:rPr>
          <w:b/>
          <w:sz w:val="28"/>
        </w:rPr>
      </w:pPr>
      <w:r>
        <w:rPr>
          <w:sz w:val="28"/>
        </w:rPr>
        <w:t>Brak, do 40% stawka ryczałtowa na koszty projektu inne niż koszty personelu (podstawa wyliczania: koszty bezpośrednie personelu) [art. 56 CPR], uproszczona metoda rozliczania wydatków w oparciu o projekt budżetu [art. 53(3)(b) CPR]</w:t>
      </w:r>
    </w:p>
    <w:p w:rsidR="00202C2D" w:rsidRDefault="004366E5">
      <w:pPr>
        <w:rPr>
          <w:b/>
          <w:sz w:val="28"/>
        </w:rPr>
      </w:pPr>
      <w:r>
        <w:rPr>
          <w:b/>
          <w:sz w:val="28"/>
        </w:rPr>
        <w:lastRenderedPageBreak/>
        <w:t>Forma wsparcia</w:t>
      </w:r>
    </w:p>
    <w:p w:rsidR="00202C2D" w:rsidRDefault="004366E5">
      <w:pPr>
        <w:rPr>
          <w:b/>
          <w:sz w:val="28"/>
        </w:rPr>
      </w:pPr>
      <w:r>
        <w:rPr>
          <w:sz w:val="28"/>
        </w:rPr>
        <w:t>Dotacja</w:t>
      </w:r>
    </w:p>
    <w:p w:rsidR="00202C2D" w:rsidRDefault="004366E5">
      <w:pPr>
        <w:rPr>
          <w:b/>
          <w:sz w:val="28"/>
        </w:rPr>
      </w:pPr>
      <w:r>
        <w:rPr>
          <w:b/>
          <w:sz w:val="28"/>
        </w:rPr>
        <w:t>Dopuszczalny cross-</w:t>
      </w:r>
      <w:proofErr w:type="spellStart"/>
      <w:r>
        <w:rPr>
          <w:b/>
          <w:sz w:val="28"/>
        </w:rPr>
        <w:t>financing</w:t>
      </w:r>
      <w:proofErr w:type="spellEnd"/>
      <w:r>
        <w:rPr>
          <w:b/>
          <w:sz w:val="28"/>
        </w:rPr>
        <w:t xml:space="preserve"> (%)</w:t>
      </w:r>
    </w:p>
    <w:p w:rsidR="00202C2D" w:rsidRDefault="004366E5">
      <w:pPr>
        <w:rPr>
          <w:b/>
          <w:sz w:val="28"/>
        </w:rPr>
      </w:pPr>
      <w:r>
        <w:rPr>
          <w:sz w:val="28"/>
        </w:rPr>
        <w:t>5</w:t>
      </w:r>
    </w:p>
    <w:p w:rsidR="00202C2D" w:rsidRDefault="004366E5">
      <w:pPr>
        <w:rPr>
          <w:b/>
          <w:sz w:val="28"/>
        </w:rPr>
      </w:pPr>
      <w:r>
        <w:rPr>
          <w:b/>
          <w:sz w:val="28"/>
        </w:rPr>
        <w:t>Minimalna wartość projektu</w:t>
      </w:r>
    </w:p>
    <w:p w:rsidR="00202C2D" w:rsidRDefault="004366E5">
      <w:pPr>
        <w:rPr>
          <w:b/>
          <w:sz w:val="28"/>
        </w:rPr>
      </w:pPr>
      <w:r>
        <w:rPr>
          <w:sz w:val="28"/>
        </w:rPr>
        <w:t>500 000,00</w:t>
      </w:r>
    </w:p>
    <w:p w:rsidR="00202C2D" w:rsidRDefault="004366E5">
      <w:pPr>
        <w:rPr>
          <w:b/>
          <w:sz w:val="28"/>
        </w:rPr>
      </w:pPr>
      <w:r>
        <w:rPr>
          <w:b/>
          <w:sz w:val="28"/>
        </w:rPr>
        <w:t>Sposób wyboru projektów</w:t>
      </w:r>
    </w:p>
    <w:p w:rsidR="00202C2D" w:rsidRDefault="004366E5">
      <w:pPr>
        <w:rPr>
          <w:b/>
          <w:sz w:val="28"/>
        </w:rPr>
      </w:pPr>
      <w:r>
        <w:rPr>
          <w:sz w:val="28"/>
        </w:rPr>
        <w:t>Konkurencyjny</w:t>
      </w:r>
    </w:p>
    <w:p w:rsidR="00202C2D" w:rsidRDefault="004366E5">
      <w:pPr>
        <w:rPr>
          <w:b/>
          <w:sz w:val="28"/>
        </w:rPr>
      </w:pPr>
      <w:r>
        <w:rPr>
          <w:b/>
          <w:sz w:val="28"/>
        </w:rPr>
        <w:t>Realizacja instrumentów terytorialnych</w:t>
      </w:r>
    </w:p>
    <w:p w:rsidR="00202C2D" w:rsidRDefault="004366E5">
      <w:pPr>
        <w:rPr>
          <w:b/>
          <w:sz w:val="28"/>
        </w:rPr>
      </w:pPr>
      <w:r>
        <w:rPr>
          <w:sz w:val="28"/>
        </w:rPr>
        <w:t>Nie dotyczy</w:t>
      </w:r>
    </w:p>
    <w:p w:rsidR="00202C2D" w:rsidRDefault="004366E5">
      <w:pPr>
        <w:rPr>
          <w:b/>
          <w:sz w:val="28"/>
        </w:rPr>
      </w:pPr>
      <w:r>
        <w:rPr>
          <w:b/>
          <w:sz w:val="28"/>
        </w:rPr>
        <w:t>Typ beneficjenta – ogólny</w:t>
      </w:r>
    </w:p>
    <w:p w:rsidR="00202C2D" w:rsidRDefault="004366E5">
      <w:pPr>
        <w:rPr>
          <w:b/>
          <w:sz w:val="28"/>
        </w:rPr>
      </w:pPr>
      <w:r>
        <w:rPr>
          <w:sz w:val="28"/>
        </w:rPr>
        <w:t>Administracja publiczna, Organizacje społeczne i związki wyznaniowe, Służby publiczne</w:t>
      </w:r>
    </w:p>
    <w:p w:rsidR="00202C2D" w:rsidRDefault="004366E5">
      <w:pPr>
        <w:rPr>
          <w:b/>
          <w:sz w:val="28"/>
        </w:rPr>
      </w:pPr>
      <w:r>
        <w:rPr>
          <w:b/>
          <w:sz w:val="28"/>
        </w:rPr>
        <w:t>Typ beneficjenta – szczegółowy</w:t>
      </w:r>
    </w:p>
    <w:p w:rsidR="00202C2D" w:rsidRDefault="004366E5">
      <w:pPr>
        <w:rPr>
          <w:b/>
          <w:sz w:val="28"/>
        </w:rPr>
      </w:pPr>
      <w:r>
        <w:rPr>
          <w:sz w:val="28"/>
        </w:rPr>
        <w:t>Instytucje kultury, Jednostki organizacyjne działające w imieniu jednostek samorządu terytorialnego, Jednostki Samorządu Terytorialnego, Kościoły i związki wyznaniowe, Organizacje pozarządowe</w:t>
      </w:r>
    </w:p>
    <w:p w:rsidR="00202C2D" w:rsidRDefault="004366E5">
      <w:pPr>
        <w:rPr>
          <w:b/>
          <w:sz w:val="28"/>
        </w:rPr>
      </w:pPr>
      <w:r>
        <w:rPr>
          <w:b/>
          <w:sz w:val="28"/>
        </w:rPr>
        <w:t>Grupa docelowa</w:t>
      </w:r>
    </w:p>
    <w:p w:rsidR="00202C2D" w:rsidRDefault="004366E5">
      <w:pPr>
        <w:rPr>
          <w:b/>
          <w:sz w:val="28"/>
        </w:rPr>
      </w:pPr>
      <w:r>
        <w:rPr>
          <w:sz w:val="28"/>
        </w:rPr>
        <w:t>mieszkańcy województwa, osoby ze specjalnymi potrzebami, turyści</w:t>
      </w:r>
    </w:p>
    <w:p w:rsidR="00202C2D" w:rsidRDefault="004366E5">
      <w:pPr>
        <w:rPr>
          <w:b/>
          <w:sz w:val="28"/>
        </w:rPr>
      </w:pPr>
      <w:r>
        <w:rPr>
          <w:b/>
          <w:sz w:val="28"/>
        </w:rPr>
        <w:t>Słowa kluczowe</w:t>
      </w:r>
    </w:p>
    <w:p w:rsidR="00202C2D" w:rsidRDefault="004366E5">
      <w:pPr>
        <w:rPr>
          <w:b/>
          <w:sz w:val="28"/>
        </w:rPr>
      </w:pPr>
      <w:r>
        <w:rPr>
          <w:sz w:val="28"/>
        </w:rPr>
        <w:t xml:space="preserve">biblioteka, </w:t>
      </w:r>
      <w:proofErr w:type="spellStart"/>
      <w:r>
        <w:rPr>
          <w:sz w:val="28"/>
        </w:rPr>
        <w:t>digitalizacja_zbiorow</w:t>
      </w:r>
      <w:proofErr w:type="spellEnd"/>
      <w:r>
        <w:rPr>
          <w:sz w:val="28"/>
        </w:rPr>
        <w:t xml:space="preserve">, </w:t>
      </w:r>
      <w:proofErr w:type="spellStart"/>
      <w:r>
        <w:rPr>
          <w:sz w:val="28"/>
        </w:rPr>
        <w:t>dom_kultury</w:t>
      </w:r>
      <w:proofErr w:type="spellEnd"/>
      <w:r>
        <w:rPr>
          <w:sz w:val="28"/>
        </w:rPr>
        <w:t xml:space="preserve">, </w:t>
      </w:r>
      <w:proofErr w:type="spellStart"/>
      <w:r>
        <w:rPr>
          <w:sz w:val="28"/>
        </w:rPr>
        <w:t>dziedzictwo_kulturowe</w:t>
      </w:r>
      <w:proofErr w:type="spellEnd"/>
      <w:r>
        <w:rPr>
          <w:sz w:val="28"/>
        </w:rPr>
        <w:t xml:space="preserve">, </w:t>
      </w:r>
      <w:proofErr w:type="spellStart"/>
      <w:r>
        <w:rPr>
          <w:sz w:val="28"/>
        </w:rPr>
        <w:t>instytucja_kultury</w:t>
      </w:r>
      <w:proofErr w:type="spellEnd"/>
      <w:r>
        <w:rPr>
          <w:sz w:val="28"/>
        </w:rPr>
        <w:t xml:space="preserve">, kultura, muzeum, </w:t>
      </w:r>
      <w:proofErr w:type="spellStart"/>
      <w:r>
        <w:rPr>
          <w:sz w:val="28"/>
        </w:rPr>
        <w:t>ochrona_zabytków</w:t>
      </w:r>
      <w:proofErr w:type="spellEnd"/>
      <w:r>
        <w:rPr>
          <w:sz w:val="28"/>
        </w:rPr>
        <w:t xml:space="preserve">, </w:t>
      </w:r>
      <w:proofErr w:type="spellStart"/>
      <w:r>
        <w:rPr>
          <w:sz w:val="28"/>
        </w:rPr>
        <w:t>odnowa_przestrzeni_publicznych</w:t>
      </w:r>
      <w:proofErr w:type="spellEnd"/>
      <w:r>
        <w:rPr>
          <w:sz w:val="28"/>
        </w:rPr>
        <w:t xml:space="preserve">, </w:t>
      </w:r>
      <w:proofErr w:type="spellStart"/>
      <w:r>
        <w:rPr>
          <w:sz w:val="28"/>
        </w:rPr>
        <w:t>tożsamość_lokalna</w:t>
      </w:r>
      <w:proofErr w:type="spellEnd"/>
    </w:p>
    <w:p w:rsidR="00202C2D" w:rsidRDefault="004366E5">
      <w:pPr>
        <w:rPr>
          <w:b/>
          <w:sz w:val="28"/>
        </w:rPr>
      </w:pPr>
      <w:r>
        <w:rPr>
          <w:b/>
          <w:sz w:val="28"/>
        </w:rPr>
        <w:t>Wskaźniki produktu</w:t>
      </w:r>
    </w:p>
    <w:p w:rsidR="00202C2D" w:rsidRDefault="004366E5">
      <w:pPr>
        <w:rPr>
          <w:b/>
          <w:sz w:val="28"/>
        </w:rPr>
      </w:pPr>
      <w:r>
        <w:rPr>
          <w:sz w:val="28"/>
        </w:rPr>
        <w:lastRenderedPageBreak/>
        <w:t>WLWK-PLRO132 - Liczba obiektów dostosowanych do potrzeb osób z niepełnosprawnościami (EFRR/FST/FS)</w:t>
      </w:r>
    </w:p>
    <w:p w:rsidR="00202C2D" w:rsidRDefault="004366E5">
      <w:pPr>
        <w:rPr>
          <w:b/>
          <w:sz w:val="28"/>
        </w:rPr>
      </w:pPr>
      <w:r>
        <w:rPr>
          <w:sz w:val="28"/>
        </w:rPr>
        <w:t>WLWK-RCO077 - Liczba obiektów kulturalnych i turystycznych objętych wsparciem</w:t>
      </w:r>
    </w:p>
    <w:p w:rsidR="00202C2D" w:rsidRDefault="004366E5">
      <w:pPr>
        <w:rPr>
          <w:b/>
          <w:sz w:val="28"/>
        </w:rPr>
      </w:pPr>
      <w:r>
        <w:rPr>
          <w:sz w:val="28"/>
        </w:rPr>
        <w:t>WLWK-PLRO139 - Liczba zabytków nieruchomych objętych wsparciem</w:t>
      </w:r>
    </w:p>
    <w:p w:rsidR="00202C2D" w:rsidRDefault="004366E5">
      <w:pPr>
        <w:rPr>
          <w:b/>
          <w:sz w:val="28"/>
        </w:rPr>
      </w:pPr>
      <w:r>
        <w:rPr>
          <w:b/>
          <w:sz w:val="28"/>
        </w:rPr>
        <w:t>Wskaźniki rezultatu</w:t>
      </w:r>
    </w:p>
    <w:p w:rsidR="00202C2D" w:rsidRDefault="004366E5">
      <w:pPr>
        <w:rPr>
          <w:b/>
          <w:sz w:val="28"/>
        </w:rPr>
      </w:pPr>
      <w:r>
        <w:rPr>
          <w:sz w:val="28"/>
        </w:rPr>
        <w:t>WLWK-RCR077 - Liczba osób odwiedzających obiekty kulturalne i turystyczne objęte wsparciem</w:t>
      </w:r>
    </w:p>
    <w:p w:rsidR="00202C2D" w:rsidRDefault="00202C2D">
      <w:pPr>
        <w:rPr>
          <w:b/>
          <w:sz w:val="28"/>
        </w:rPr>
      </w:pPr>
    </w:p>
    <w:p w:rsidR="00202C2D" w:rsidRDefault="00202C2D">
      <w:pPr>
        <w:rPr>
          <w:b/>
          <w:i/>
          <w:sz w:val="44"/>
          <w:highlight w:val="magenta"/>
        </w:rPr>
      </w:pPr>
    </w:p>
    <w:sectPr w:rsidR="00202C2D">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CFC" w:rsidRDefault="004366E5">
      <w:pPr>
        <w:spacing w:after="0" w:line="240" w:lineRule="auto"/>
      </w:pPr>
      <w:r>
        <w:separator/>
      </w:r>
    </w:p>
  </w:endnote>
  <w:endnote w:type="continuationSeparator" w:id="0">
    <w:p w:rsidR="004B4CFC" w:rsidRDefault="0043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C2D" w:rsidRDefault="004366E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CFC" w:rsidRDefault="004366E5">
      <w:pPr>
        <w:spacing w:after="0" w:line="240" w:lineRule="auto"/>
      </w:pPr>
      <w:r>
        <w:separator/>
      </w:r>
    </w:p>
  </w:footnote>
  <w:footnote w:type="continuationSeparator" w:id="0">
    <w:p w:rsidR="004B4CFC" w:rsidRDefault="004366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0A6DFA3-30A5-465E-91BE-4FB7228B0E67}"/>
  </w:docVars>
  <w:rsids>
    <w:rsidRoot w:val="00202C2D"/>
    <w:rsid w:val="00202C2D"/>
    <w:rsid w:val="004366E5"/>
    <w:rsid w:val="004B4CFC"/>
    <w:rsid w:val="00563E7F"/>
    <w:rsid w:val="00DC3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E19"/>
  <w15:docId w15:val="{43D14AFD-BCE7-4F26-9BC7-AF9FB7AB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customStyle="1" w:styleId="Normalny1">
    <w:name w:val="Normalny1"/>
    <w:qFormat/>
    <w:pPr>
      <w:spacing w:after="200"/>
    </w:pPr>
  </w:style>
  <w:style w:type="character" w:customStyle="1" w:styleId="Domylnaczcionkaakapitu1">
    <w:name w:val="Domyślna czcionka akapitu1"/>
    <w:uiPriority w:val="1"/>
  </w:style>
  <w:style w:type="table" w:customStyle="1" w:styleId="Standardowy1">
    <w:name w:val="Standardowy1"/>
    <w:uiPriority w:val="99"/>
    <w:tblPr>
      <w:tblInd w:w="0" w:type="dxa"/>
      <w:tblCellMar>
        <w:top w:w="0" w:type="dxa"/>
        <w:left w:w="108" w:type="dxa"/>
        <w:bottom w:w="0" w:type="dxa"/>
        <w:right w:w="108" w:type="dxa"/>
      </w:tblCellMar>
    </w:tblPr>
  </w:style>
  <w:style w:type="numbering" w:customStyle="1" w:styleId="Bezlisty1">
    <w:name w:val="Bez listy1"/>
    <w:uiPriority w:val="99"/>
  </w:style>
  <w:style w:type="paragraph" w:customStyle="1" w:styleId="Normalny2">
    <w:name w:val="Normalny2"/>
    <w:qFormat/>
    <w:pPr>
      <w:spacing w:after="200"/>
    </w:pPr>
  </w:style>
  <w:style w:type="character" w:customStyle="1" w:styleId="Domylnaczcionkaakapitu2">
    <w:name w:val="Domyślna czcionka akapitu2"/>
    <w:uiPriority w:val="1"/>
  </w:style>
  <w:style w:type="table" w:customStyle="1" w:styleId="Standardowy2">
    <w:name w:val="Standardowy2"/>
    <w:uiPriority w:val="99"/>
    <w:tblPr>
      <w:tblInd w:w="0" w:type="dxa"/>
      <w:tblCellMar>
        <w:top w:w="0" w:type="dxa"/>
        <w:left w:w="108" w:type="dxa"/>
        <w:bottom w:w="0" w:type="dxa"/>
        <w:right w:w="108" w:type="dxa"/>
      </w:tblCellMar>
    </w:tblPr>
  </w:style>
  <w:style w:type="numbering" w:customStyle="1" w:styleId="Bezlisty2">
    <w:name w:val="Bez listy2"/>
    <w:uiPriority w:val="99"/>
  </w:style>
  <w:style w:type="paragraph" w:customStyle="1" w:styleId="Normalny3">
    <w:name w:val="Normalny3"/>
    <w:qFormat/>
    <w:pPr>
      <w:spacing w:after="200"/>
    </w:pPr>
  </w:style>
  <w:style w:type="character" w:customStyle="1" w:styleId="Domylnaczcionkaakapitu3">
    <w:name w:val="Domyślna czcionka akapitu3"/>
    <w:uiPriority w:val="1"/>
  </w:style>
  <w:style w:type="table" w:customStyle="1" w:styleId="Standardowy3">
    <w:name w:val="Standardowy3"/>
    <w:uiPriority w:val="99"/>
    <w:tblPr>
      <w:tblInd w:w="0" w:type="dxa"/>
      <w:tblCellMar>
        <w:top w:w="0" w:type="dxa"/>
        <w:left w:w="108" w:type="dxa"/>
        <w:bottom w:w="0" w:type="dxa"/>
        <w:right w:w="108" w:type="dxa"/>
      </w:tblCellMar>
    </w:tblPr>
  </w:style>
  <w:style w:type="numbering" w:customStyle="1" w:styleId="Bezlisty3">
    <w:name w:val="Bez listy3"/>
    <w:uiPriority w:val="99"/>
  </w:style>
  <w:style w:type="paragraph" w:customStyle="1" w:styleId="Normalny4">
    <w:name w:val="Normalny4"/>
    <w:qFormat/>
    <w:pPr>
      <w:spacing w:after="200"/>
    </w:pPr>
  </w:style>
  <w:style w:type="character" w:customStyle="1" w:styleId="Domylnaczcionkaakapitu4">
    <w:name w:val="Domyślna czcionka akapitu4"/>
    <w:uiPriority w:val="1"/>
  </w:style>
  <w:style w:type="table" w:customStyle="1" w:styleId="Standardowy4">
    <w:name w:val="Standardowy4"/>
    <w:uiPriority w:val="99"/>
    <w:tblPr>
      <w:tblInd w:w="0" w:type="dxa"/>
      <w:tblCellMar>
        <w:top w:w="0" w:type="dxa"/>
        <w:left w:w="108" w:type="dxa"/>
        <w:bottom w:w="0" w:type="dxa"/>
        <w:right w:w="108" w:type="dxa"/>
      </w:tblCellMar>
    </w:tblPr>
  </w:style>
  <w:style w:type="numbering" w:customStyle="1" w:styleId="Bezlisty4">
    <w:name w:val="Bez listy4"/>
    <w:uiPriority w:val="99"/>
  </w:style>
  <w:style w:type="paragraph" w:customStyle="1" w:styleId="Normalny5">
    <w:name w:val="Normalny5"/>
    <w:qFormat/>
    <w:pPr>
      <w:spacing w:after="200"/>
    </w:pPr>
  </w:style>
  <w:style w:type="character" w:customStyle="1" w:styleId="Domylnaczcionkaakapitu5">
    <w:name w:val="Domyślna czcionka akapitu5"/>
    <w:uiPriority w:val="1"/>
  </w:style>
  <w:style w:type="table" w:customStyle="1" w:styleId="Standardowy5">
    <w:name w:val="Standardowy5"/>
    <w:uiPriority w:val="99"/>
    <w:tblPr>
      <w:tblInd w:w="0" w:type="dxa"/>
      <w:tblCellMar>
        <w:top w:w="0" w:type="dxa"/>
        <w:left w:w="108" w:type="dxa"/>
        <w:bottom w:w="0" w:type="dxa"/>
        <w:right w:w="108" w:type="dxa"/>
      </w:tblCellMar>
    </w:tblPr>
  </w:style>
  <w:style w:type="numbering" w:customStyle="1" w:styleId="Bezlisty5">
    <w:name w:val="Bez listy5"/>
    <w:uiPriority w:val="99"/>
  </w:style>
  <w:style w:type="paragraph" w:customStyle="1" w:styleId="Normalny6">
    <w:name w:val="Normalny6"/>
    <w:qFormat/>
    <w:pPr>
      <w:spacing w:after="200"/>
    </w:pPr>
  </w:style>
  <w:style w:type="character" w:customStyle="1" w:styleId="Domylnaczcionkaakapitu6">
    <w:name w:val="Domyślna czcionka akapitu6"/>
    <w:uiPriority w:val="1"/>
  </w:style>
  <w:style w:type="table" w:customStyle="1" w:styleId="Standardowy6">
    <w:name w:val="Standardowy6"/>
    <w:uiPriority w:val="99"/>
    <w:tblPr>
      <w:tblInd w:w="0" w:type="dxa"/>
      <w:tblCellMar>
        <w:top w:w="0" w:type="dxa"/>
        <w:left w:w="108" w:type="dxa"/>
        <w:bottom w:w="0" w:type="dxa"/>
        <w:right w:w="108" w:type="dxa"/>
      </w:tblCellMar>
    </w:tblPr>
  </w:style>
  <w:style w:type="numbering" w:customStyle="1" w:styleId="Bezlisty6">
    <w:name w:val="Bez listy6"/>
    <w:uiPriority w:val="99"/>
  </w:style>
  <w:style w:type="paragraph" w:customStyle="1" w:styleId="Normalny7">
    <w:name w:val="Normalny7"/>
    <w:qFormat/>
    <w:pPr>
      <w:spacing w:after="200"/>
    </w:pPr>
  </w:style>
  <w:style w:type="character" w:customStyle="1" w:styleId="Domylnaczcionkaakapitu7">
    <w:name w:val="Domyślna czcionka akapitu7"/>
    <w:uiPriority w:val="1"/>
  </w:style>
  <w:style w:type="table" w:customStyle="1" w:styleId="Standardowy7">
    <w:name w:val="Standardowy7"/>
    <w:uiPriority w:val="99"/>
    <w:tblPr>
      <w:tblInd w:w="0" w:type="dxa"/>
      <w:tblCellMar>
        <w:top w:w="0" w:type="dxa"/>
        <w:left w:w="108" w:type="dxa"/>
        <w:bottom w:w="0" w:type="dxa"/>
        <w:right w:w="108" w:type="dxa"/>
      </w:tblCellMar>
    </w:tblPr>
  </w:style>
  <w:style w:type="numbering" w:customStyle="1" w:styleId="Bezlisty7">
    <w:name w:val="Bez listy7"/>
    <w:uiPriority w:val="99"/>
  </w:style>
  <w:style w:type="paragraph" w:customStyle="1" w:styleId="Normalny8">
    <w:name w:val="Normalny8"/>
    <w:qFormat/>
    <w:pPr>
      <w:spacing w:after="200"/>
    </w:pPr>
  </w:style>
  <w:style w:type="character" w:customStyle="1" w:styleId="Domylnaczcionkaakapitu8">
    <w:name w:val="Domyślna czcionka akapitu8"/>
    <w:uiPriority w:val="1"/>
  </w:style>
  <w:style w:type="table" w:customStyle="1" w:styleId="Standardowy8">
    <w:name w:val="Standardowy8"/>
    <w:uiPriority w:val="99"/>
    <w:tblPr>
      <w:tblInd w:w="0" w:type="dxa"/>
      <w:tblCellMar>
        <w:top w:w="0" w:type="dxa"/>
        <w:left w:w="108" w:type="dxa"/>
        <w:bottom w:w="0" w:type="dxa"/>
        <w:right w:w="108" w:type="dxa"/>
      </w:tblCellMar>
    </w:tblPr>
  </w:style>
  <w:style w:type="numbering" w:customStyle="1" w:styleId="Bezlisty8">
    <w:name w:val="Bez listy8"/>
    <w:uiPriority w:val="99"/>
  </w:style>
  <w:style w:type="paragraph" w:customStyle="1" w:styleId="Normalny9">
    <w:name w:val="Normalny9"/>
    <w:qFormat/>
    <w:pPr>
      <w:spacing w:after="200"/>
    </w:pPr>
  </w:style>
  <w:style w:type="character" w:customStyle="1" w:styleId="Domylnaczcionkaakapitu9">
    <w:name w:val="Domyślna czcionka akapitu9"/>
    <w:uiPriority w:val="1"/>
  </w:style>
  <w:style w:type="table" w:customStyle="1" w:styleId="Standardowy9">
    <w:name w:val="Standardowy9"/>
    <w:uiPriority w:val="99"/>
    <w:tblPr>
      <w:tblInd w:w="0" w:type="dxa"/>
      <w:tblCellMar>
        <w:top w:w="0" w:type="dxa"/>
        <w:left w:w="108" w:type="dxa"/>
        <w:bottom w:w="0" w:type="dxa"/>
        <w:right w:w="108" w:type="dxa"/>
      </w:tblCellMar>
    </w:tblPr>
  </w:style>
  <w:style w:type="numbering" w:customStyle="1" w:styleId="Bezlisty9">
    <w:name w:val="Bez listy9"/>
    <w:uiPriority w:val="99"/>
  </w:style>
  <w:style w:type="paragraph" w:customStyle="1" w:styleId="Normalny10">
    <w:name w:val="Normalny10"/>
    <w:qFormat/>
    <w:pPr>
      <w:spacing w:after="200"/>
    </w:pPr>
  </w:style>
  <w:style w:type="character" w:customStyle="1" w:styleId="Domylnaczcionkaakapitu10">
    <w:name w:val="Domyślna czcionka akapitu10"/>
    <w:uiPriority w:val="1"/>
  </w:style>
  <w:style w:type="table" w:customStyle="1" w:styleId="Standardowy10">
    <w:name w:val="Standardowy10"/>
    <w:uiPriority w:val="99"/>
    <w:tblPr>
      <w:tblInd w:w="0" w:type="dxa"/>
      <w:tblCellMar>
        <w:top w:w="0" w:type="dxa"/>
        <w:left w:w="108" w:type="dxa"/>
        <w:bottom w:w="0" w:type="dxa"/>
        <w:right w:w="108" w:type="dxa"/>
      </w:tblCellMar>
    </w:tblPr>
  </w:style>
  <w:style w:type="numbering" w:customStyle="1" w:styleId="Bezlisty10">
    <w:name w:val="Bez listy10"/>
    <w:uiPriority w:val="99"/>
  </w:style>
  <w:style w:type="paragraph" w:customStyle="1" w:styleId="Normalny11">
    <w:name w:val="Normalny11"/>
    <w:qFormat/>
    <w:pPr>
      <w:spacing w:after="200"/>
    </w:pPr>
  </w:style>
  <w:style w:type="character" w:customStyle="1" w:styleId="Domylnaczcionkaakapitu11">
    <w:name w:val="Domyślna czcionka akapitu11"/>
    <w:uiPriority w:val="1"/>
  </w:style>
  <w:style w:type="table" w:customStyle="1" w:styleId="Standardowy11">
    <w:name w:val="Standardowy11"/>
    <w:uiPriority w:val="99"/>
    <w:tblPr>
      <w:tblInd w:w="0" w:type="dxa"/>
      <w:tblCellMar>
        <w:top w:w="0" w:type="dxa"/>
        <w:left w:w="108" w:type="dxa"/>
        <w:bottom w:w="0" w:type="dxa"/>
        <w:right w:w="108" w:type="dxa"/>
      </w:tblCellMar>
    </w:tblPr>
  </w:style>
  <w:style w:type="numbering" w:customStyle="1" w:styleId="Bezlisty11">
    <w:name w:val="Bez listy11"/>
    <w:uiPriority w:val="99"/>
  </w:style>
  <w:style w:type="paragraph" w:customStyle="1" w:styleId="Normalny12">
    <w:name w:val="Normalny12"/>
    <w:qFormat/>
    <w:pPr>
      <w:spacing w:after="200"/>
    </w:pPr>
  </w:style>
  <w:style w:type="character" w:customStyle="1" w:styleId="Domylnaczcionkaakapitu12">
    <w:name w:val="Domyślna czcionka akapitu12"/>
    <w:uiPriority w:val="1"/>
  </w:style>
  <w:style w:type="table" w:customStyle="1" w:styleId="Standardowy12">
    <w:name w:val="Standardowy12"/>
    <w:uiPriority w:val="99"/>
    <w:tblPr>
      <w:tblInd w:w="0" w:type="dxa"/>
      <w:tblCellMar>
        <w:top w:w="0" w:type="dxa"/>
        <w:left w:w="108" w:type="dxa"/>
        <w:bottom w:w="0" w:type="dxa"/>
        <w:right w:w="108" w:type="dxa"/>
      </w:tblCellMar>
    </w:tblPr>
  </w:style>
  <w:style w:type="numbering" w:customStyle="1" w:styleId="Bezlisty12">
    <w:name w:val="Bez listy12"/>
    <w:uiPriority w:val="99"/>
  </w:style>
  <w:style w:type="paragraph" w:customStyle="1" w:styleId="Normalny13">
    <w:name w:val="Normalny13"/>
    <w:qFormat/>
    <w:pPr>
      <w:spacing w:after="200"/>
    </w:pPr>
  </w:style>
  <w:style w:type="character" w:customStyle="1" w:styleId="Domylnaczcionkaakapitu13">
    <w:name w:val="Domyślna czcionka akapitu13"/>
    <w:uiPriority w:val="1"/>
  </w:style>
  <w:style w:type="table" w:customStyle="1" w:styleId="Standardowy13">
    <w:name w:val="Standardowy13"/>
    <w:uiPriority w:val="99"/>
    <w:tblPr>
      <w:tblInd w:w="0" w:type="dxa"/>
      <w:tblCellMar>
        <w:top w:w="0" w:type="dxa"/>
        <w:left w:w="108" w:type="dxa"/>
        <w:bottom w:w="0" w:type="dxa"/>
        <w:right w:w="108" w:type="dxa"/>
      </w:tblCellMar>
    </w:tblPr>
  </w:style>
  <w:style w:type="numbering" w:customStyle="1" w:styleId="Bezlisty13">
    <w:name w:val="Bez listy13"/>
    <w:uiPriority w:val="99"/>
  </w:style>
  <w:style w:type="paragraph" w:customStyle="1" w:styleId="Normalny14">
    <w:name w:val="Normalny14"/>
    <w:qFormat/>
    <w:pPr>
      <w:spacing w:after="200"/>
    </w:pPr>
  </w:style>
  <w:style w:type="character" w:customStyle="1" w:styleId="Domylnaczcionkaakapitu14">
    <w:name w:val="Domyślna czcionka akapitu14"/>
    <w:uiPriority w:val="1"/>
  </w:style>
  <w:style w:type="table" w:customStyle="1" w:styleId="Standardowy14">
    <w:name w:val="Standardowy14"/>
    <w:uiPriority w:val="99"/>
    <w:tblPr>
      <w:tblInd w:w="0" w:type="dxa"/>
      <w:tblCellMar>
        <w:top w:w="0" w:type="dxa"/>
        <w:left w:w="108" w:type="dxa"/>
        <w:bottom w:w="0" w:type="dxa"/>
        <w:right w:w="108" w:type="dxa"/>
      </w:tblCellMar>
    </w:tblPr>
  </w:style>
  <w:style w:type="numbering" w:customStyle="1" w:styleId="Bezlisty14">
    <w:name w:val="Bez listy14"/>
    <w:uiPriority w:val="99"/>
  </w:style>
  <w:style w:type="paragraph" w:customStyle="1" w:styleId="Normalny15">
    <w:name w:val="Normalny15"/>
    <w:qFormat/>
    <w:pPr>
      <w:spacing w:after="200"/>
    </w:pPr>
  </w:style>
  <w:style w:type="character" w:customStyle="1" w:styleId="Domylnaczcionkaakapitu15">
    <w:name w:val="Domyślna czcionka akapitu15"/>
    <w:uiPriority w:val="1"/>
  </w:style>
  <w:style w:type="table" w:customStyle="1" w:styleId="Standardowy15">
    <w:name w:val="Standardowy15"/>
    <w:uiPriority w:val="99"/>
    <w:tblPr>
      <w:tblInd w:w="0" w:type="dxa"/>
      <w:tblCellMar>
        <w:top w:w="0" w:type="dxa"/>
        <w:left w:w="108" w:type="dxa"/>
        <w:bottom w:w="0" w:type="dxa"/>
        <w:right w:w="108" w:type="dxa"/>
      </w:tblCellMar>
    </w:tblPr>
  </w:style>
  <w:style w:type="numbering" w:customStyle="1" w:styleId="Bezlisty15">
    <w:name w:val="Bez listy15"/>
    <w:uiPriority w:val="99"/>
  </w:style>
  <w:style w:type="paragraph" w:customStyle="1" w:styleId="Normalny16">
    <w:name w:val="Normalny16"/>
    <w:qFormat/>
    <w:pPr>
      <w:spacing w:after="200"/>
    </w:pPr>
  </w:style>
  <w:style w:type="character" w:customStyle="1" w:styleId="Domylnaczcionkaakapitu16">
    <w:name w:val="Domyślna czcionka akapitu16"/>
    <w:uiPriority w:val="1"/>
  </w:style>
  <w:style w:type="table" w:customStyle="1" w:styleId="Standardowy16">
    <w:name w:val="Standardowy16"/>
    <w:uiPriority w:val="99"/>
    <w:tblPr>
      <w:tblInd w:w="0" w:type="dxa"/>
      <w:tblCellMar>
        <w:top w:w="0" w:type="dxa"/>
        <w:left w:w="108" w:type="dxa"/>
        <w:bottom w:w="0" w:type="dxa"/>
        <w:right w:w="108" w:type="dxa"/>
      </w:tblCellMar>
    </w:tblPr>
  </w:style>
  <w:style w:type="numbering" w:customStyle="1" w:styleId="Bezlisty16">
    <w:name w:val="Bez listy16"/>
    <w:uiPriority w:val="99"/>
  </w:style>
  <w:style w:type="paragraph" w:customStyle="1" w:styleId="Normalny17">
    <w:name w:val="Normalny17"/>
    <w:qFormat/>
    <w:pPr>
      <w:spacing w:after="200"/>
    </w:pPr>
  </w:style>
  <w:style w:type="character" w:customStyle="1" w:styleId="Domylnaczcionkaakapitu17">
    <w:name w:val="Domyślna czcionka akapitu17"/>
    <w:uiPriority w:val="1"/>
  </w:style>
  <w:style w:type="table" w:customStyle="1" w:styleId="Standardowy17">
    <w:name w:val="Standardowy17"/>
    <w:uiPriority w:val="99"/>
    <w:tblPr>
      <w:tblInd w:w="0" w:type="dxa"/>
      <w:tblCellMar>
        <w:top w:w="0" w:type="dxa"/>
        <w:left w:w="108" w:type="dxa"/>
        <w:bottom w:w="0" w:type="dxa"/>
        <w:right w:w="108" w:type="dxa"/>
      </w:tblCellMar>
    </w:tblPr>
  </w:style>
  <w:style w:type="numbering" w:customStyle="1" w:styleId="Bezlisty17">
    <w:name w:val="Bez listy17"/>
    <w:uiPriority w:val="99"/>
  </w:style>
  <w:style w:type="paragraph" w:customStyle="1" w:styleId="Normalny18">
    <w:name w:val="Normalny18"/>
    <w:qFormat/>
    <w:pPr>
      <w:spacing w:after="200"/>
    </w:pPr>
  </w:style>
  <w:style w:type="character" w:customStyle="1" w:styleId="Domylnaczcionkaakapitu18">
    <w:name w:val="Domyślna czcionka akapitu18"/>
    <w:uiPriority w:val="1"/>
  </w:style>
  <w:style w:type="table" w:customStyle="1" w:styleId="Standardowy18">
    <w:name w:val="Standardowy18"/>
    <w:uiPriority w:val="99"/>
    <w:tblPr>
      <w:tblInd w:w="0" w:type="dxa"/>
      <w:tblCellMar>
        <w:top w:w="0" w:type="dxa"/>
        <w:left w:w="108" w:type="dxa"/>
        <w:bottom w:w="0" w:type="dxa"/>
        <w:right w:w="108" w:type="dxa"/>
      </w:tblCellMar>
    </w:tblPr>
  </w:style>
  <w:style w:type="numbering" w:customStyle="1" w:styleId="Bezlisty18">
    <w:name w:val="Bez listy18"/>
    <w:uiPriority w:val="99"/>
  </w:style>
  <w:style w:type="paragraph" w:customStyle="1" w:styleId="Normalny19">
    <w:name w:val="Normalny19"/>
    <w:qFormat/>
    <w:pPr>
      <w:spacing w:after="200"/>
    </w:pPr>
  </w:style>
  <w:style w:type="character" w:customStyle="1" w:styleId="Domylnaczcionkaakapitu19">
    <w:name w:val="Domyślna czcionka akapitu19"/>
    <w:uiPriority w:val="1"/>
  </w:style>
  <w:style w:type="table" w:customStyle="1" w:styleId="Standardowy19">
    <w:name w:val="Standardowy19"/>
    <w:uiPriority w:val="99"/>
    <w:tblPr>
      <w:tblInd w:w="0" w:type="dxa"/>
      <w:tblCellMar>
        <w:top w:w="0" w:type="dxa"/>
        <w:left w:w="108" w:type="dxa"/>
        <w:bottom w:w="0" w:type="dxa"/>
        <w:right w:w="108" w:type="dxa"/>
      </w:tblCellMar>
    </w:tblPr>
  </w:style>
  <w:style w:type="numbering" w:customStyle="1" w:styleId="Bezlisty19">
    <w:name w:val="Bez listy19"/>
    <w:uiPriority w:val="99"/>
  </w:style>
  <w:style w:type="paragraph" w:customStyle="1" w:styleId="Normalny20">
    <w:name w:val="Normalny20"/>
    <w:qFormat/>
    <w:pPr>
      <w:spacing w:after="200"/>
    </w:pPr>
  </w:style>
  <w:style w:type="character" w:customStyle="1" w:styleId="Domylnaczcionkaakapitu20">
    <w:name w:val="Domyślna czcionka akapitu20"/>
    <w:uiPriority w:val="1"/>
  </w:style>
  <w:style w:type="table" w:customStyle="1" w:styleId="Standardowy20">
    <w:name w:val="Standardowy20"/>
    <w:uiPriority w:val="99"/>
    <w:tblPr>
      <w:tblInd w:w="0" w:type="dxa"/>
      <w:tblCellMar>
        <w:top w:w="0" w:type="dxa"/>
        <w:left w:w="108" w:type="dxa"/>
        <w:bottom w:w="0" w:type="dxa"/>
        <w:right w:w="108" w:type="dxa"/>
      </w:tblCellMar>
    </w:tblPr>
  </w:style>
  <w:style w:type="numbering" w:customStyle="1" w:styleId="Bezlisty20">
    <w:name w:val="Bez listy20"/>
    <w:uiPriority w:val="99"/>
  </w:style>
  <w:style w:type="paragraph" w:customStyle="1" w:styleId="Normalny21">
    <w:name w:val="Normalny21"/>
    <w:qFormat/>
    <w:pPr>
      <w:spacing w:after="200"/>
    </w:pPr>
  </w:style>
  <w:style w:type="character" w:customStyle="1" w:styleId="Domylnaczcionkaakapitu21">
    <w:name w:val="Domyślna czcionka akapitu21"/>
    <w:uiPriority w:val="1"/>
  </w:style>
  <w:style w:type="table" w:customStyle="1" w:styleId="Standardowy21">
    <w:name w:val="Standardowy21"/>
    <w:uiPriority w:val="99"/>
    <w:tblPr>
      <w:tblInd w:w="0" w:type="dxa"/>
      <w:tblCellMar>
        <w:top w:w="0" w:type="dxa"/>
        <w:left w:w="108" w:type="dxa"/>
        <w:bottom w:w="0" w:type="dxa"/>
        <w:right w:w="108" w:type="dxa"/>
      </w:tblCellMar>
    </w:tblPr>
  </w:style>
  <w:style w:type="numbering" w:customStyle="1" w:styleId="Bezlisty21">
    <w:name w:val="Bez listy21"/>
    <w:uiPriority w:val="99"/>
  </w:style>
  <w:style w:type="paragraph" w:customStyle="1" w:styleId="Normalny22">
    <w:name w:val="Normalny22"/>
    <w:qFormat/>
    <w:pPr>
      <w:spacing w:after="200"/>
    </w:pPr>
  </w:style>
  <w:style w:type="character" w:customStyle="1" w:styleId="Domylnaczcionkaakapitu22">
    <w:name w:val="Domyślna czcionka akapitu22"/>
    <w:uiPriority w:val="1"/>
  </w:style>
  <w:style w:type="table" w:customStyle="1" w:styleId="Standardowy22">
    <w:name w:val="Standardowy22"/>
    <w:uiPriority w:val="99"/>
    <w:tblPr>
      <w:tblInd w:w="0" w:type="dxa"/>
      <w:tblCellMar>
        <w:top w:w="0" w:type="dxa"/>
        <w:left w:w="108" w:type="dxa"/>
        <w:bottom w:w="0" w:type="dxa"/>
        <w:right w:w="108" w:type="dxa"/>
      </w:tblCellMar>
    </w:tblPr>
  </w:style>
  <w:style w:type="numbering" w:customStyle="1" w:styleId="Bezlisty22">
    <w:name w:val="Bez listy22"/>
    <w:uiPriority w:val="99"/>
  </w:style>
  <w:style w:type="paragraph" w:customStyle="1" w:styleId="Normalny23">
    <w:name w:val="Normalny23"/>
    <w:qFormat/>
    <w:pPr>
      <w:spacing w:after="200"/>
    </w:pPr>
  </w:style>
  <w:style w:type="character" w:customStyle="1" w:styleId="Domylnaczcionkaakapitu23">
    <w:name w:val="Domyślna czcionka akapitu23"/>
    <w:uiPriority w:val="1"/>
  </w:style>
  <w:style w:type="table" w:customStyle="1" w:styleId="Standardowy23">
    <w:name w:val="Standardowy23"/>
    <w:uiPriority w:val="99"/>
    <w:tblPr>
      <w:tblInd w:w="0" w:type="dxa"/>
      <w:tblCellMar>
        <w:top w:w="0" w:type="dxa"/>
        <w:left w:w="108" w:type="dxa"/>
        <w:bottom w:w="0" w:type="dxa"/>
        <w:right w:w="108" w:type="dxa"/>
      </w:tblCellMar>
    </w:tblPr>
  </w:style>
  <w:style w:type="numbering" w:customStyle="1" w:styleId="Bezlisty23">
    <w:name w:val="Bez listy23"/>
    <w:uiPriority w:val="99"/>
  </w:style>
  <w:style w:type="paragraph" w:customStyle="1" w:styleId="Normalny24">
    <w:name w:val="Normalny24"/>
    <w:qFormat/>
    <w:pPr>
      <w:spacing w:after="200"/>
    </w:pPr>
  </w:style>
  <w:style w:type="character" w:customStyle="1" w:styleId="Domylnaczcionkaakapitu24">
    <w:name w:val="Domyślna czcionka akapitu24"/>
    <w:uiPriority w:val="1"/>
  </w:style>
  <w:style w:type="table" w:customStyle="1" w:styleId="Standardowy24">
    <w:name w:val="Standardowy24"/>
    <w:uiPriority w:val="99"/>
    <w:tblPr>
      <w:tblInd w:w="0" w:type="dxa"/>
      <w:tblCellMar>
        <w:top w:w="0" w:type="dxa"/>
        <w:left w:w="108" w:type="dxa"/>
        <w:bottom w:w="0" w:type="dxa"/>
        <w:right w:w="108" w:type="dxa"/>
      </w:tblCellMar>
    </w:tblPr>
  </w:style>
  <w:style w:type="numbering" w:customStyle="1" w:styleId="Bezlisty24">
    <w:name w:val="Bez listy24"/>
    <w:uiPriority w:val="99"/>
  </w:style>
  <w:style w:type="paragraph" w:customStyle="1" w:styleId="Normalny25">
    <w:name w:val="Normalny25"/>
    <w:qFormat/>
    <w:pPr>
      <w:spacing w:after="200"/>
    </w:pPr>
  </w:style>
  <w:style w:type="character" w:customStyle="1" w:styleId="Domylnaczcionkaakapitu25">
    <w:name w:val="Domyślna czcionka akapitu25"/>
    <w:uiPriority w:val="1"/>
  </w:style>
  <w:style w:type="table" w:customStyle="1" w:styleId="Standardowy25">
    <w:name w:val="Standardowy25"/>
    <w:uiPriority w:val="99"/>
    <w:tblPr>
      <w:tblInd w:w="0" w:type="dxa"/>
      <w:tblCellMar>
        <w:top w:w="0" w:type="dxa"/>
        <w:left w:w="108" w:type="dxa"/>
        <w:bottom w:w="0" w:type="dxa"/>
        <w:right w:w="108" w:type="dxa"/>
      </w:tblCellMar>
    </w:tblPr>
  </w:style>
  <w:style w:type="numbering" w:customStyle="1" w:styleId="Bezlisty25">
    <w:name w:val="Bez listy25"/>
    <w:uiPriority w:val="99"/>
  </w:style>
  <w:style w:type="paragraph" w:customStyle="1" w:styleId="Normalny26">
    <w:name w:val="Normalny26"/>
    <w:qFormat/>
    <w:pPr>
      <w:spacing w:after="200"/>
    </w:pPr>
  </w:style>
  <w:style w:type="character" w:customStyle="1" w:styleId="Domylnaczcionkaakapitu26">
    <w:name w:val="Domyślna czcionka akapitu26"/>
    <w:uiPriority w:val="1"/>
  </w:style>
  <w:style w:type="table" w:customStyle="1" w:styleId="Standardowy26">
    <w:name w:val="Standardowy26"/>
    <w:uiPriority w:val="99"/>
    <w:tblPr>
      <w:tblInd w:w="0" w:type="dxa"/>
      <w:tblCellMar>
        <w:top w:w="0" w:type="dxa"/>
        <w:left w:w="108" w:type="dxa"/>
        <w:bottom w:w="0" w:type="dxa"/>
        <w:right w:w="108" w:type="dxa"/>
      </w:tblCellMar>
    </w:tblPr>
  </w:style>
  <w:style w:type="numbering" w:customStyle="1" w:styleId="Bezlisty26">
    <w:name w:val="Bez listy26"/>
    <w:uiPriority w:val="99"/>
  </w:style>
  <w:style w:type="paragraph" w:customStyle="1" w:styleId="Normalny27">
    <w:name w:val="Normalny27"/>
    <w:qFormat/>
    <w:pPr>
      <w:spacing w:after="200"/>
    </w:pPr>
  </w:style>
  <w:style w:type="character" w:customStyle="1" w:styleId="Domylnaczcionkaakapitu27">
    <w:name w:val="Domyślna czcionka akapitu27"/>
    <w:uiPriority w:val="1"/>
  </w:style>
  <w:style w:type="table" w:customStyle="1" w:styleId="Standardowy27">
    <w:name w:val="Standardowy27"/>
    <w:uiPriority w:val="99"/>
    <w:tblPr>
      <w:tblInd w:w="0" w:type="dxa"/>
      <w:tblCellMar>
        <w:top w:w="0" w:type="dxa"/>
        <w:left w:w="108" w:type="dxa"/>
        <w:bottom w:w="0" w:type="dxa"/>
        <w:right w:w="108" w:type="dxa"/>
      </w:tblCellMar>
    </w:tblPr>
  </w:style>
  <w:style w:type="numbering" w:customStyle="1" w:styleId="Bezlisty27">
    <w:name w:val="Bez listy27"/>
    <w:uiPriority w:val="99"/>
  </w:style>
  <w:style w:type="paragraph" w:customStyle="1" w:styleId="Normalny28">
    <w:name w:val="Normalny28"/>
    <w:qFormat/>
    <w:pPr>
      <w:spacing w:after="200"/>
    </w:pPr>
  </w:style>
  <w:style w:type="character" w:customStyle="1" w:styleId="Domylnaczcionkaakapitu28">
    <w:name w:val="Domyślna czcionka akapitu28"/>
    <w:uiPriority w:val="1"/>
  </w:style>
  <w:style w:type="table" w:customStyle="1" w:styleId="Standardowy28">
    <w:name w:val="Standardowy28"/>
    <w:uiPriority w:val="99"/>
    <w:tblPr>
      <w:tblInd w:w="0" w:type="dxa"/>
      <w:tblCellMar>
        <w:top w:w="0" w:type="dxa"/>
        <w:left w:w="108" w:type="dxa"/>
        <w:bottom w:w="0" w:type="dxa"/>
        <w:right w:w="108" w:type="dxa"/>
      </w:tblCellMar>
    </w:tblPr>
  </w:style>
  <w:style w:type="numbering" w:customStyle="1" w:styleId="Bezlisty28">
    <w:name w:val="Bez listy28"/>
    <w:uiPriority w:val="99"/>
  </w:style>
  <w:style w:type="paragraph" w:customStyle="1" w:styleId="Normalny29">
    <w:name w:val="Normalny29"/>
    <w:qFormat/>
    <w:pPr>
      <w:spacing w:after="200"/>
    </w:pPr>
  </w:style>
  <w:style w:type="character" w:customStyle="1" w:styleId="Domylnaczcionkaakapitu29">
    <w:name w:val="Domyślna czcionka akapitu29"/>
    <w:uiPriority w:val="1"/>
  </w:style>
  <w:style w:type="table" w:customStyle="1" w:styleId="Standardowy29">
    <w:name w:val="Standardowy29"/>
    <w:uiPriority w:val="99"/>
    <w:tblPr>
      <w:tblInd w:w="0" w:type="dxa"/>
      <w:tblCellMar>
        <w:top w:w="0" w:type="dxa"/>
        <w:left w:w="108" w:type="dxa"/>
        <w:bottom w:w="0" w:type="dxa"/>
        <w:right w:w="108" w:type="dxa"/>
      </w:tblCellMar>
    </w:tblPr>
  </w:style>
  <w:style w:type="numbering" w:customStyle="1" w:styleId="Bezlisty29">
    <w:name w:val="Bez listy29"/>
    <w:uiPriority w:val="99"/>
  </w:style>
  <w:style w:type="paragraph" w:customStyle="1" w:styleId="Normalny30">
    <w:name w:val="Normalny30"/>
    <w:qFormat/>
    <w:pPr>
      <w:spacing w:after="200"/>
    </w:pPr>
  </w:style>
  <w:style w:type="character" w:customStyle="1" w:styleId="Domylnaczcionkaakapitu30">
    <w:name w:val="Domyślna czcionka akapitu30"/>
    <w:uiPriority w:val="1"/>
  </w:style>
  <w:style w:type="table" w:customStyle="1" w:styleId="Standardowy30">
    <w:name w:val="Standardowy30"/>
    <w:uiPriority w:val="99"/>
    <w:tblPr>
      <w:tblInd w:w="0" w:type="dxa"/>
      <w:tblCellMar>
        <w:top w:w="0" w:type="dxa"/>
        <w:left w:w="108" w:type="dxa"/>
        <w:bottom w:w="0" w:type="dxa"/>
        <w:right w:w="108" w:type="dxa"/>
      </w:tblCellMar>
    </w:tblPr>
  </w:style>
  <w:style w:type="numbering" w:customStyle="1" w:styleId="Bezlisty30">
    <w:name w:val="Bez listy30"/>
    <w:uiPriority w:val="99"/>
  </w:style>
  <w:style w:type="paragraph" w:customStyle="1" w:styleId="Normalny31">
    <w:name w:val="Normalny31"/>
    <w:qFormat/>
    <w:pPr>
      <w:spacing w:after="200"/>
    </w:pPr>
  </w:style>
  <w:style w:type="character" w:customStyle="1" w:styleId="Domylnaczcionkaakapitu31">
    <w:name w:val="Domyślna czcionka akapitu31"/>
    <w:uiPriority w:val="1"/>
  </w:style>
  <w:style w:type="table" w:customStyle="1" w:styleId="Standardowy31">
    <w:name w:val="Standardowy31"/>
    <w:uiPriority w:val="99"/>
    <w:tblPr>
      <w:tblInd w:w="0" w:type="dxa"/>
      <w:tblCellMar>
        <w:top w:w="0" w:type="dxa"/>
        <w:left w:w="108" w:type="dxa"/>
        <w:bottom w:w="0" w:type="dxa"/>
        <w:right w:w="108" w:type="dxa"/>
      </w:tblCellMar>
    </w:tblPr>
  </w:style>
  <w:style w:type="numbering" w:customStyle="1" w:styleId="Bezlisty31">
    <w:name w:val="Bez listy31"/>
    <w:uiPriority w:val="99"/>
  </w:style>
  <w:style w:type="paragraph" w:customStyle="1" w:styleId="Normalny32">
    <w:name w:val="Normalny32"/>
    <w:qFormat/>
    <w:pPr>
      <w:spacing w:after="200"/>
    </w:pPr>
  </w:style>
  <w:style w:type="character" w:customStyle="1" w:styleId="Domylnaczcionkaakapitu32">
    <w:name w:val="Domyślna czcionka akapitu32"/>
    <w:uiPriority w:val="1"/>
  </w:style>
  <w:style w:type="table" w:customStyle="1" w:styleId="Standardowy32">
    <w:name w:val="Standardowy32"/>
    <w:uiPriority w:val="99"/>
    <w:tblPr>
      <w:tblInd w:w="0" w:type="dxa"/>
      <w:tblCellMar>
        <w:top w:w="0" w:type="dxa"/>
        <w:left w:w="108" w:type="dxa"/>
        <w:bottom w:w="0" w:type="dxa"/>
        <w:right w:w="108" w:type="dxa"/>
      </w:tblCellMar>
    </w:tblPr>
  </w:style>
  <w:style w:type="numbering" w:customStyle="1" w:styleId="Bezlisty32">
    <w:name w:val="Bez listy32"/>
    <w:uiPriority w:val="99"/>
  </w:style>
  <w:style w:type="paragraph" w:customStyle="1" w:styleId="Normalny33">
    <w:name w:val="Normalny33"/>
    <w:qFormat/>
    <w:pPr>
      <w:spacing w:after="200"/>
    </w:pPr>
  </w:style>
  <w:style w:type="character" w:customStyle="1" w:styleId="Domylnaczcionkaakapitu33">
    <w:name w:val="Domyślna czcionka akapitu33"/>
    <w:uiPriority w:val="1"/>
  </w:style>
  <w:style w:type="table" w:customStyle="1" w:styleId="Standardowy33">
    <w:name w:val="Standardowy33"/>
    <w:uiPriority w:val="99"/>
    <w:tblPr>
      <w:tblInd w:w="0" w:type="dxa"/>
      <w:tblCellMar>
        <w:top w:w="0" w:type="dxa"/>
        <w:left w:w="108" w:type="dxa"/>
        <w:bottom w:w="0" w:type="dxa"/>
        <w:right w:w="108" w:type="dxa"/>
      </w:tblCellMar>
    </w:tblPr>
  </w:style>
  <w:style w:type="numbering" w:customStyle="1" w:styleId="Bezlisty33">
    <w:name w:val="Bez listy33"/>
    <w:uiPriority w:val="99"/>
  </w:style>
  <w:style w:type="paragraph" w:customStyle="1" w:styleId="Normalny34">
    <w:name w:val="Normalny34"/>
    <w:qFormat/>
    <w:pPr>
      <w:spacing w:after="200"/>
    </w:pPr>
  </w:style>
  <w:style w:type="character" w:customStyle="1" w:styleId="Domylnaczcionkaakapitu34">
    <w:name w:val="Domyślna czcionka akapitu34"/>
    <w:uiPriority w:val="1"/>
  </w:style>
  <w:style w:type="table" w:customStyle="1" w:styleId="Standardowy34">
    <w:name w:val="Standardowy34"/>
    <w:uiPriority w:val="99"/>
    <w:tblPr>
      <w:tblInd w:w="0" w:type="dxa"/>
      <w:tblCellMar>
        <w:top w:w="0" w:type="dxa"/>
        <w:left w:w="108" w:type="dxa"/>
        <w:bottom w:w="0" w:type="dxa"/>
        <w:right w:w="108" w:type="dxa"/>
      </w:tblCellMar>
    </w:tblPr>
  </w:style>
  <w:style w:type="numbering" w:customStyle="1" w:styleId="Bezlisty34">
    <w:name w:val="Bez listy34"/>
    <w:uiPriority w:val="99"/>
  </w:style>
  <w:style w:type="paragraph" w:customStyle="1" w:styleId="Normalny35">
    <w:name w:val="Normalny35"/>
    <w:qFormat/>
    <w:pPr>
      <w:spacing w:after="200"/>
    </w:pPr>
  </w:style>
  <w:style w:type="character" w:customStyle="1" w:styleId="Domylnaczcionkaakapitu35">
    <w:name w:val="Domyślna czcionka akapitu35"/>
    <w:uiPriority w:val="1"/>
  </w:style>
  <w:style w:type="table" w:customStyle="1" w:styleId="Standardowy35">
    <w:name w:val="Standardowy35"/>
    <w:uiPriority w:val="99"/>
    <w:tblPr>
      <w:tblInd w:w="0" w:type="dxa"/>
      <w:tblCellMar>
        <w:top w:w="0" w:type="dxa"/>
        <w:left w:w="108" w:type="dxa"/>
        <w:bottom w:w="0" w:type="dxa"/>
        <w:right w:w="108" w:type="dxa"/>
      </w:tblCellMar>
    </w:tblPr>
  </w:style>
  <w:style w:type="numbering" w:customStyle="1" w:styleId="Bezlisty35">
    <w:name w:val="Bez listy35"/>
    <w:uiPriority w:val="99"/>
  </w:style>
  <w:style w:type="paragraph" w:customStyle="1" w:styleId="Normalny36">
    <w:name w:val="Normalny36"/>
    <w:qFormat/>
    <w:pPr>
      <w:spacing w:after="200"/>
    </w:pPr>
  </w:style>
  <w:style w:type="character" w:customStyle="1" w:styleId="Domylnaczcionkaakapitu36">
    <w:name w:val="Domyślna czcionka akapitu36"/>
    <w:uiPriority w:val="1"/>
  </w:style>
  <w:style w:type="table" w:customStyle="1" w:styleId="Standardowy36">
    <w:name w:val="Standardowy36"/>
    <w:uiPriority w:val="99"/>
    <w:tblPr>
      <w:tblInd w:w="0" w:type="dxa"/>
      <w:tblCellMar>
        <w:top w:w="0" w:type="dxa"/>
        <w:left w:w="108" w:type="dxa"/>
        <w:bottom w:w="0" w:type="dxa"/>
        <w:right w:w="108" w:type="dxa"/>
      </w:tblCellMar>
    </w:tblPr>
  </w:style>
  <w:style w:type="numbering" w:customStyle="1" w:styleId="Bezlisty36">
    <w:name w:val="Bez listy36"/>
    <w:uiPriority w:val="99"/>
  </w:style>
  <w:style w:type="paragraph" w:customStyle="1" w:styleId="Normalny37">
    <w:name w:val="Normalny37"/>
    <w:qFormat/>
    <w:pPr>
      <w:spacing w:after="200"/>
    </w:pPr>
  </w:style>
  <w:style w:type="character" w:customStyle="1" w:styleId="Domylnaczcionkaakapitu37">
    <w:name w:val="Domyślna czcionka akapitu37"/>
    <w:uiPriority w:val="1"/>
  </w:style>
  <w:style w:type="table" w:customStyle="1" w:styleId="Standardowy37">
    <w:name w:val="Standardowy37"/>
    <w:uiPriority w:val="99"/>
    <w:tblPr>
      <w:tblInd w:w="0" w:type="dxa"/>
      <w:tblCellMar>
        <w:top w:w="0" w:type="dxa"/>
        <w:left w:w="108" w:type="dxa"/>
        <w:bottom w:w="0" w:type="dxa"/>
        <w:right w:w="108" w:type="dxa"/>
      </w:tblCellMar>
    </w:tblPr>
  </w:style>
  <w:style w:type="numbering" w:customStyle="1" w:styleId="Bezlisty37">
    <w:name w:val="Bez listy37"/>
    <w:uiPriority w:val="99"/>
  </w:style>
  <w:style w:type="paragraph" w:customStyle="1" w:styleId="Normalny38">
    <w:name w:val="Normalny38"/>
    <w:qFormat/>
    <w:pPr>
      <w:spacing w:after="200"/>
    </w:pPr>
  </w:style>
  <w:style w:type="character" w:customStyle="1" w:styleId="Domylnaczcionkaakapitu38">
    <w:name w:val="Domyślna czcionka akapitu38"/>
    <w:uiPriority w:val="1"/>
  </w:style>
  <w:style w:type="table" w:customStyle="1" w:styleId="Standardowy38">
    <w:name w:val="Standardowy38"/>
    <w:uiPriority w:val="99"/>
    <w:tblPr>
      <w:tblInd w:w="0" w:type="dxa"/>
      <w:tblCellMar>
        <w:top w:w="0" w:type="dxa"/>
        <w:left w:w="108" w:type="dxa"/>
        <w:bottom w:w="0" w:type="dxa"/>
        <w:right w:w="108" w:type="dxa"/>
      </w:tblCellMar>
    </w:tblPr>
  </w:style>
  <w:style w:type="numbering" w:customStyle="1" w:styleId="Bezlisty38">
    <w:name w:val="Bez listy38"/>
    <w:uiPriority w:val="99"/>
  </w:style>
  <w:style w:type="paragraph" w:customStyle="1" w:styleId="Normalny39">
    <w:name w:val="Normalny39"/>
    <w:qFormat/>
    <w:pPr>
      <w:spacing w:after="200"/>
    </w:pPr>
  </w:style>
  <w:style w:type="character" w:customStyle="1" w:styleId="Domylnaczcionkaakapitu39">
    <w:name w:val="Domyślna czcionka akapitu39"/>
    <w:uiPriority w:val="1"/>
  </w:style>
  <w:style w:type="table" w:customStyle="1" w:styleId="Standardowy39">
    <w:name w:val="Standardowy39"/>
    <w:uiPriority w:val="99"/>
    <w:tblPr>
      <w:tblInd w:w="0" w:type="dxa"/>
      <w:tblCellMar>
        <w:top w:w="0" w:type="dxa"/>
        <w:left w:w="108" w:type="dxa"/>
        <w:bottom w:w="0" w:type="dxa"/>
        <w:right w:w="108" w:type="dxa"/>
      </w:tblCellMar>
    </w:tblPr>
  </w:style>
  <w:style w:type="numbering" w:customStyle="1" w:styleId="Bezlisty39">
    <w:name w:val="Bez listy39"/>
    <w:uiPriority w:val="99"/>
  </w:style>
  <w:style w:type="paragraph" w:customStyle="1" w:styleId="Normalny40">
    <w:name w:val="Normalny40"/>
    <w:qFormat/>
    <w:pPr>
      <w:spacing w:after="200"/>
    </w:pPr>
  </w:style>
  <w:style w:type="character" w:customStyle="1" w:styleId="Domylnaczcionkaakapitu40">
    <w:name w:val="Domyślna czcionka akapitu40"/>
    <w:uiPriority w:val="1"/>
  </w:style>
  <w:style w:type="table" w:customStyle="1" w:styleId="Standardowy40">
    <w:name w:val="Standardowy40"/>
    <w:uiPriority w:val="99"/>
    <w:tblPr>
      <w:tblInd w:w="0" w:type="dxa"/>
      <w:tblCellMar>
        <w:top w:w="0" w:type="dxa"/>
        <w:left w:w="108" w:type="dxa"/>
        <w:bottom w:w="0" w:type="dxa"/>
        <w:right w:w="108" w:type="dxa"/>
      </w:tblCellMar>
    </w:tblPr>
  </w:style>
  <w:style w:type="numbering" w:customStyle="1" w:styleId="Bezlisty40">
    <w:name w:val="Bez listy40"/>
    <w:uiPriority w:val="99"/>
  </w:style>
  <w:style w:type="paragraph" w:customStyle="1" w:styleId="Normalny41">
    <w:name w:val="Normalny41"/>
    <w:qFormat/>
    <w:pPr>
      <w:spacing w:after="200"/>
    </w:pPr>
  </w:style>
  <w:style w:type="character" w:customStyle="1" w:styleId="Domylnaczcionkaakapitu41">
    <w:name w:val="Domyślna czcionka akapitu41"/>
    <w:uiPriority w:val="1"/>
  </w:style>
  <w:style w:type="table" w:customStyle="1" w:styleId="Standardowy41">
    <w:name w:val="Standardowy41"/>
    <w:uiPriority w:val="99"/>
    <w:tblPr>
      <w:tblInd w:w="0" w:type="dxa"/>
      <w:tblCellMar>
        <w:top w:w="0" w:type="dxa"/>
        <w:left w:w="108" w:type="dxa"/>
        <w:bottom w:w="0" w:type="dxa"/>
        <w:right w:w="108" w:type="dxa"/>
      </w:tblCellMar>
    </w:tblPr>
  </w:style>
  <w:style w:type="numbering" w:customStyle="1" w:styleId="Bezlisty41">
    <w:name w:val="Bez listy41"/>
    <w:uiPriority w:val="99"/>
  </w:style>
  <w:style w:type="paragraph" w:customStyle="1" w:styleId="Normalny42">
    <w:name w:val="Normalny42"/>
    <w:qFormat/>
    <w:pPr>
      <w:spacing w:after="200"/>
    </w:pPr>
  </w:style>
  <w:style w:type="character" w:customStyle="1" w:styleId="Domylnaczcionkaakapitu42">
    <w:name w:val="Domyślna czcionka akapitu42"/>
    <w:uiPriority w:val="1"/>
  </w:style>
  <w:style w:type="table" w:customStyle="1" w:styleId="Standardowy42">
    <w:name w:val="Standardowy42"/>
    <w:uiPriority w:val="99"/>
    <w:tblPr>
      <w:tblInd w:w="0" w:type="dxa"/>
      <w:tblCellMar>
        <w:top w:w="0" w:type="dxa"/>
        <w:left w:w="108" w:type="dxa"/>
        <w:bottom w:w="0" w:type="dxa"/>
        <w:right w:w="108" w:type="dxa"/>
      </w:tblCellMar>
    </w:tblPr>
  </w:style>
  <w:style w:type="numbering" w:customStyle="1" w:styleId="Bezlisty42">
    <w:name w:val="Bez listy42"/>
    <w:uiPriority w:val="99"/>
  </w:style>
  <w:style w:type="paragraph" w:customStyle="1" w:styleId="Normalny43">
    <w:name w:val="Normalny43"/>
    <w:qFormat/>
    <w:pPr>
      <w:spacing w:after="200"/>
    </w:pPr>
  </w:style>
  <w:style w:type="character" w:customStyle="1" w:styleId="Domylnaczcionkaakapitu43">
    <w:name w:val="Domyślna czcionka akapitu43"/>
    <w:uiPriority w:val="1"/>
  </w:style>
  <w:style w:type="table" w:customStyle="1" w:styleId="Standardowy43">
    <w:name w:val="Standardowy43"/>
    <w:uiPriority w:val="99"/>
    <w:tblPr>
      <w:tblInd w:w="0" w:type="dxa"/>
      <w:tblCellMar>
        <w:top w:w="0" w:type="dxa"/>
        <w:left w:w="108" w:type="dxa"/>
        <w:bottom w:w="0" w:type="dxa"/>
        <w:right w:w="108" w:type="dxa"/>
      </w:tblCellMar>
    </w:tblPr>
  </w:style>
  <w:style w:type="numbering" w:customStyle="1" w:styleId="Bezlisty43">
    <w:name w:val="Bez listy43"/>
    <w:uiPriority w:val="99"/>
  </w:style>
  <w:style w:type="paragraph" w:customStyle="1" w:styleId="Normalny44">
    <w:name w:val="Normalny44"/>
    <w:qFormat/>
    <w:pPr>
      <w:spacing w:after="200"/>
    </w:pPr>
  </w:style>
  <w:style w:type="character" w:customStyle="1" w:styleId="Domylnaczcionkaakapitu44">
    <w:name w:val="Domyślna czcionka akapitu44"/>
    <w:uiPriority w:val="1"/>
  </w:style>
  <w:style w:type="table" w:customStyle="1" w:styleId="Standardowy44">
    <w:name w:val="Standardowy44"/>
    <w:uiPriority w:val="99"/>
    <w:tblPr>
      <w:tblInd w:w="0" w:type="dxa"/>
      <w:tblCellMar>
        <w:top w:w="0" w:type="dxa"/>
        <w:left w:w="108" w:type="dxa"/>
        <w:bottom w:w="0" w:type="dxa"/>
        <w:right w:w="108" w:type="dxa"/>
      </w:tblCellMar>
    </w:tblPr>
  </w:style>
  <w:style w:type="numbering" w:customStyle="1" w:styleId="Bezlisty44">
    <w:name w:val="Bez listy44"/>
    <w:uiPriority w:val="99"/>
  </w:style>
  <w:style w:type="paragraph" w:customStyle="1" w:styleId="Normalny45">
    <w:name w:val="Normalny45"/>
    <w:qFormat/>
    <w:pPr>
      <w:spacing w:after="200"/>
    </w:pPr>
  </w:style>
  <w:style w:type="character" w:customStyle="1" w:styleId="Domylnaczcionkaakapitu45">
    <w:name w:val="Domyślna czcionka akapitu45"/>
    <w:uiPriority w:val="1"/>
  </w:style>
  <w:style w:type="table" w:customStyle="1" w:styleId="Standardowy45">
    <w:name w:val="Standardowy45"/>
    <w:uiPriority w:val="99"/>
    <w:tblPr>
      <w:tblInd w:w="0" w:type="dxa"/>
      <w:tblCellMar>
        <w:top w:w="0" w:type="dxa"/>
        <w:left w:w="108" w:type="dxa"/>
        <w:bottom w:w="0" w:type="dxa"/>
        <w:right w:w="108" w:type="dxa"/>
      </w:tblCellMar>
    </w:tblPr>
  </w:style>
  <w:style w:type="numbering" w:customStyle="1" w:styleId="Bezlisty45">
    <w:name w:val="Bez listy45"/>
    <w:uiPriority w:val="99"/>
  </w:style>
  <w:style w:type="paragraph" w:customStyle="1" w:styleId="Normalny46">
    <w:name w:val="Normalny46"/>
    <w:qFormat/>
    <w:pPr>
      <w:spacing w:after="200"/>
    </w:pPr>
  </w:style>
  <w:style w:type="character" w:customStyle="1" w:styleId="Domylnaczcionkaakapitu46">
    <w:name w:val="Domyślna czcionka akapitu46"/>
    <w:uiPriority w:val="1"/>
  </w:style>
  <w:style w:type="table" w:customStyle="1" w:styleId="Standardowy46">
    <w:name w:val="Standardowy46"/>
    <w:uiPriority w:val="99"/>
    <w:tblPr>
      <w:tblInd w:w="0" w:type="dxa"/>
      <w:tblCellMar>
        <w:top w:w="0" w:type="dxa"/>
        <w:left w:w="108" w:type="dxa"/>
        <w:bottom w:w="0" w:type="dxa"/>
        <w:right w:w="108" w:type="dxa"/>
      </w:tblCellMar>
    </w:tblPr>
  </w:style>
  <w:style w:type="numbering" w:customStyle="1" w:styleId="Bezlisty46">
    <w:name w:val="Bez listy46"/>
    <w:uiPriority w:val="99"/>
  </w:style>
  <w:style w:type="paragraph" w:customStyle="1" w:styleId="Normalny47">
    <w:name w:val="Normalny47"/>
    <w:qFormat/>
    <w:pPr>
      <w:spacing w:after="200"/>
    </w:pPr>
  </w:style>
  <w:style w:type="character" w:customStyle="1" w:styleId="Domylnaczcionkaakapitu47">
    <w:name w:val="Domyślna czcionka akapitu47"/>
    <w:uiPriority w:val="1"/>
  </w:style>
  <w:style w:type="table" w:customStyle="1" w:styleId="Standardowy47">
    <w:name w:val="Standardowy47"/>
    <w:uiPriority w:val="99"/>
    <w:tblPr>
      <w:tblInd w:w="0" w:type="dxa"/>
      <w:tblCellMar>
        <w:top w:w="0" w:type="dxa"/>
        <w:left w:w="108" w:type="dxa"/>
        <w:bottom w:w="0" w:type="dxa"/>
        <w:right w:w="108" w:type="dxa"/>
      </w:tblCellMar>
    </w:tblPr>
  </w:style>
  <w:style w:type="numbering" w:customStyle="1" w:styleId="Bezlisty47">
    <w:name w:val="Bez listy47"/>
    <w:uiPriority w:val="99"/>
  </w:style>
  <w:style w:type="paragraph" w:customStyle="1" w:styleId="Normalny48">
    <w:name w:val="Normalny48"/>
    <w:qFormat/>
    <w:pPr>
      <w:spacing w:after="200"/>
    </w:pPr>
  </w:style>
  <w:style w:type="character" w:customStyle="1" w:styleId="Domylnaczcionkaakapitu48">
    <w:name w:val="Domyślna czcionka akapitu48"/>
    <w:uiPriority w:val="1"/>
  </w:style>
  <w:style w:type="table" w:customStyle="1" w:styleId="Standardowy48">
    <w:name w:val="Standardowy48"/>
    <w:uiPriority w:val="99"/>
    <w:tblPr>
      <w:tblInd w:w="0" w:type="dxa"/>
      <w:tblCellMar>
        <w:top w:w="0" w:type="dxa"/>
        <w:left w:w="108" w:type="dxa"/>
        <w:bottom w:w="0" w:type="dxa"/>
        <w:right w:w="108" w:type="dxa"/>
      </w:tblCellMar>
    </w:tblPr>
  </w:style>
  <w:style w:type="numbering" w:customStyle="1" w:styleId="Bezlisty48">
    <w:name w:val="Bez listy48"/>
    <w:uiPriority w:val="99"/>
  </w:style>
  <w:style w:type="paragraph" w:customStyle="1" w:styleId="Normalny49">
    <w:name w:val="Normalny49"/>
    <w:qFormat/>
    <w:pPr>
      <w:spacing w:after="200"/>
    </w:pPr>
  </w:style>
  <w:style w:type="character" w:customStyle="1" w:styleId="Domylnaczcionkaakapitu49">
    <w:name w:val="Domyślna czcionka akapitu49"/>
    <w:uiPriority w:val="1"/>
  </w:style>
  <w:style w:type="table" w:customStyle="1" w:styleId="Standardowy49">
    <w:name w:val="Standardowy49"/>
    <w:uiPriority w:val="99"/>
    <w:tblPr>
      <w:tblInd w:w="0" w:type="dxa"/>
      <w:tblCellMar>
        <w:top w:w="0" w:type="dxa"/>
        <w:left w:w="108" w:type="dxa"/>
        <w:bottom w:w="0" w:type="dxa"/>
        <w:right w:w="108" w:type="dxa"/>
      </w:tblCellMar>
    </w:tblPr>
  </w:style>
  <w:style w:type="numbering" w:customStyle="1" w:styleId="Bezlisty49">
    <w:name w:val="Bez listy49"/>
    <w:uiPriority w:val="99"/>
  </w:style>
  <w:style w:type="paragraph" w:customStyle="1" w:styleId="Normalny50">
    <w:name w:val="Normalny50"/>
    <w:qFormat/>
    <w:pPr>
      <w:spacing w:after="200"/>
    </w:pPr>
  </w:style>
  <w:style w:type="character" w:customStyle="1" w:styleId="Domylnaczcionkaakapitu50">
    <w:name w:val="Domyślna czcionka akapitu50"/>
    <w:uiPriority w:val="1"/>
  </w:style>
  <w:style w:type="table" w:customStyle="1" w:styleId="Standardowy50">
    <w:name w:val="Standardowy50"/>
    <w:uiPriority w:val="99"/>
    <w:tblPr>
      <w:tblInd w:w="0" w:type="dxa"/>
      <w:tblCellMar>
        <w:top w:w="0" w:type="dxa"/>
        <w:left w:w="108" w:type="dxa"/>
        <w:bottom w:w="0" w:type="dxa"/>
        <w:right w:w="108" w:type="dxa"/>
      </w:tblCellMar>
    </w:tblPr>
  </w:style>
  <w:style w:type="numbering" w:customStyle="1" w:styleId="Bezlisty50">
    <w:name w:val="Bez listy50"/>
    <w:uiPriority w:val="99"/>
  </w:style>
  <w:style w:type="paragraph" w:customStyle="1" w:styleId="Normalny51">
    <w:name w:val="Normalny51"/>
    <w:qFormat/>
    <w:pPr>
      <w:spacing w:after="200"/>
    </w:pPr>
  </w:style>
  <w:style w:type="character" w:customStyle="1" w:styleId="Domylnaczcionkaakapitu51">
    <w:name w:val="Domyślna czcionka akapitu51"/>
    <w:uiPriority w:val="1"/>
  </w:style>
  <w:style w:type="table" w:customStyle="1" w:styleId="Standardowy51">
    <w:name w:val="Standardowy51"/>
    <w:uiPriority w:val="99"/>
    <w:tblPr>
      <w:tblInd w:w="0" w:type="dxa"/>
      <w:tblCellMar>
        <w:top w:w="0" w:type="dxa"/>
        <w:left w:w="108" w:type="dxa"/>
        <w:bottom w:w="0" w:type="dxa"/>
        <w:right w:w="108" w:type="dxa"/>
      </w:tblCellMar>
    </w:tblPr>
  </w:style>
  <w:style w:type="numbering" w:customStyle="1" w:styleId="Bezlisty51">
    <w:name w:val="Bez listy51"/>
    <w:uiPriority w:val="99"/>
  </w:style>
  <w:style w:type="paragraph" w:customStyle="1" w:styleId="Normalny52">
    <w:name w:val="Normalny52"/>
    <w:qFormat/>
    <w:pPr>
      <w:spacing w:after="200"/>
    </w:pPr>
  </w:style>
  <w:style w:type="character" w:customStyle="1" w:styleId="Domylnaczcionkaakapitu52">
    <w:name w:val="Domyślna czcionka akapitu52"/>
    <w:uiPriority w:val="1"/>
  </w:style>
  <w:style w:type="table" w:customStyle="1" w:styleId="Standardowy52">
    <w:name w:val="Standardowy52"/>
    <w:uiPriority w:val="99"/>
    <w:tblPr>
      <w:tblInd w:w="0" w:type="dxa"/>
      <w:tblCellMar>
        <w:top w:w="0" w:type="dxa"/>
        <w:left w:w="108" w:type="dxa"/>
        <w:bottom w:w="0" w:type="dxa"/>
        <w:right w:w="108" w:type="dxa"/>
      </w:tblCellMar>
    </w:tblPr>
  </w:style>
  <w:style w:type="numbering" w:customStyle="1" w:styleId="Bezlisty52">
    <w:name w:val="Bez listy52"/>
    <w:uiPriority w:val="99"/>
  </w:style>
  <w:style w:type="paragraph" w:customStyle="1" w:styleId="Normalny53">
    <w:name w:val="Normalny53"/>
    <w:qFormat/>
    <w:pPr>
      <w:spacing w:after="200"/>
    </w:pPr>
  </w:style>
  <w:style w:type="character" w:customStyle="1" w:styleId="Domylnaczcionkaakapitu53">
    <w:name w:val="Domyślna czcionka akapitu53"/>
    <w:uiPriority w:val="1"/>
  </w:style>
  <w:style w:type="table" w:customStyle="1" w:styleId="Standardowy53">
    <w:name w:val="Standardowy53"/>
    <w:uiPriority w:val="99"/>
    <w:tblPr>
      <w:tblInd w:w="0" w:type="dxa"/>
      <w:tblCellMar>
        <w:top w:w="0" w:type="dxa"/>
        <w:left w:w="108" w:type="dxa"/>
        <w:bottom w:w="0" w:type="dxa"/>
        <w:right w:w="108" w:type="dxa"/>
      </w:tblCellMar>
    </w:tblPr>
  </w:style>
  <w:style w:type="numbering" w:customStyle="1" w:styleId="Bezlisty53">
    <w:name w:val="Bez listy53"/>
    <w:uiPriority w:val="99"/>
  </w:style>
  <w:style w:type="paragraph" w:customStyle="1" w:styleId="Normalny54">
    <w:name w:val="Normalny54"/>
    <w:qFormat/>
    <w:pPr>
      <w:spacing w:after="200"/>
    </w:pPr>
  </w:style>
  <w:style w:type="character" w:customStyle="1" w:styleId="Domylnaczcionkaakapitu54">
    <w:name w:val="Domyślna czcionka akapitu54"/>
    <w:uiPriority w:val="1"/>
  </w:style>
  <w:style w:type="table" w:customStyle="1" w:styleId="Standardowy54">
    <w:name w:val="Standardowy54"/>
    <w:uiPriority w:val="99"/>
    <w:tblPr>
      <w:tblInd w:w="0" w:type="dxa"/>
      <w:tblCellMar>
        <w:top w:w="0" w:type="dxa"/>
        <w:left w:w="108" w:type="dxa"/>
        <w:bottom w:w="0" w:type="dxa"/>
        <w:right w:w="108" w:type="dxa"/>
      </w:tblCellMar>
    </w:tblPr>
  </w:style>
  <w:style w:type="numbering" w:customStyle="1" w:styleId="Bezlisty54">
    <w:name w:val="Bez listy54"/>
    <w:uiPriority w:val="99"/>
  </w:style>
  <w:style w:type="paragraph" w:customStyle="1" w:styleId="Normalny55">
    <w:name w:val="Normalny55"/>
    <w:qFormat/>
    <w:pPr>
      <w:spacing w:after="200"/>
    </w:pPr>
  </w:style>
  <w:style w:type="character" w:customStyle="1" w:styleId="Domylnaczcionkaakapitu55">
    <w:name w:val="Domyślna czcionka akapitu55"/>
    <w:uiPriority w:val="1"/>
  </w:style>
  <w:style w:type="table" w:customStyle="1" w:styleId="Standardowy55">
    <w:name w:val="Standardowy55"/>
    <w:uiPriority w:val="99"/>
    <w:tblPr>
      <w:tblInd w:w="0" w:type="dxa"/>
      <w:tblCellMar>
        <w:top w:w="0" w:type="dxa"/>
        <w:left w:w="108" w:type="dxa"/>
        <w:bottom w:w="0" w:type="dxa"/>
        <w:right w:w="108" w:type="dxa"/>
      </w:tblCellMar>
    </w:tblPr>
  </w:style>
  <w:style w:type="numbering" w:customStyle="1" w:styleId="Bezlisty55">
    <w:name w:val="Bez listy55"/>
    <w:uiPriority w:val="99"/>
  </w:style>
  <w:style w:type="paragraph" w:customStyle="1" w:styleId="Normalny56">
    <w:name w:val="Normalny56"/>
    <w:qFormat/>
    <w:pPr>
      <w:spacing w:after="200"/>
    </w:pPr>
  </w:style>
  <w:style w:type="character" w:customStyle="1" w:styleId="Domylnaczcionkaakapitu56">
    <w:name w:val="Domyślna czcionka akapitu56"/>
    <w:uiPriority w:val="1"/>
  </w:style>
  <w:style w:type="table" w:customStyle="1" w:styleId="Standardowy56">
    <w:name w:val="Standardowy56"/>
    <w:uiPriority w:val="99"/>
    <w:tblPr>
      <w:tblInd w:w="0" w:type="dxa"/>
      <w:tblCellMar>
        <w:top w:w="0" w:type="dxa"/>
        <w:left w:w="108" w:type="dxa"/>
        <w:bottom w:w="0" w:type="dxa"/>
        <w:right w:w="108" w:type="dxa"/>
      </w:tblCellMar>
    </w:tblPr>
  </w:style>
  <w:style w:type="numbering" w:customStyle="1" w:styleId="Bezlisty56">
    <w:name w:val="Bez listy56"/>
    <w:uiPriority w:val="99"/>
  </w:style>
  <w:style w:type="paragraph" w:customStyle="1" w:styleId="Normalny57">
    <w:name w:val="Normalny57"/>
    <w:qFormat/>
    <w:pPr>
      <w:spacing w:after="200"/>
    </w:pPr>
  </w:style>
  <w:style w:type="character" w:customStyle="1" w:styleId="Domylnaczcionkaakapitu57">
    <w:name w:val="Domyślna czcionka akapitu57"/>
    <w:uiPriority w:val="1"/>
  </w:style>
  <w:style w:type="table" w:customStyle="1" w:styleId="Standardowy57">
    <w:name w:val="Standardowy57"/>
    <w:uiPriority w:val="99"/>
    <w:tblPr>
      <w:tblInd w:w="0" w:type="dxa"/>
      <w:tblCellMar>
        <w:top w:w="0" w:type="dxa"/>
        <w:left w:w="108" w:type="dxa"/>
        <w:bottom w:w="0" w:type="dxa"/>
        <w:right w:w="108" w:type="dxa"/>
      </w:tblCellMar>
    </w:tblPr>
  </w:style>
  <w:style w:type="numbering" w:customStyle="1" w:styleId="Bezlisty57">
    <w:name w:val="Bez listy57"/>
    <w:uiPriority w:val="99"/>
  </w:style>
  <w:style w:type="paragraph" w:customStyle="1" w:styleId="Normalny58">
    <w:name w:val="Normalny58"/>
    <w:qFormat/>
    <w:pPr>
      <w:spacing w:after="200"/>
    </w:pPr>
  </w:style>
  <w:style w:type="character" w:customStyle="1" w:styleId="Domylnaczcionkaakapitu58">
    <w:name w:val="Domyślna czcionka akapitu58"/>
    <w:uiPriority w:val="1"/>
  </w:style>
  <w:style w:type="table" w:customStyle="1" w:styleId="Standardowy58">
    <w:name w:val="Standardowy58"/>
    <w:uiPriority w:val="99"/>
    <w:tblPr>
      <w:tblInd w:w="0" w:type="dxa"/>
      <w:tblCellMar>
        <w:top w:w="0" w:type="dxa"/>
        <w:left w:w="108" w:type="dxa"/>
        <w:bottom w:w="0" w:type="dxa"/>
        <w:right w:w="108" w:type="dxa"/>
      </w:tblCellMar>
    </w:tblPr>
  </w:style>
  <w:style w:type="numbering" w:customStyle="1" w:styleId="Bezlisty58">
    <w:name w:val="Bez listy58"/>
    <w:uiPriority w:val="99"/>
  </w:style>
  <w:style w:type="paragraph" w:customStyle="1" w:styleId="Normalny59">
    <w:name w:val="Normalny59"/>
    <w:qFormat/>
    <w:pPr>
      <w:spacing w:after="200"/>
    </w:pPr>
  </w:style>
  <w:style w:type="character" w:customStyle="1" w:styleId="Domylnaczcionkaakapitu59">
    <w:name w:val="Domyślna czcionka akapitu59"/>
    <w:uiPriority w:val="1"/>
  </w:style>
  <w:style w:type="table" w:customStyle="1" w:styleId="Standardowy59">
    <w:name w:val="Standardowy59"/>
    <w:uiPriority w:val="99"/>
    <w:tblPr>
      <w:tblInd w:w="0" w:type="dxa"/>
      <w:tblCellMar>
        <w:top w:w="0" w:type="dxa"/>
        <w:left w:w="108" w:type="dxa"/>
        <w:bottom w:w="0" w:type="dxa"/>
        <w:right w:w="108" w:type="dxa"/>
      </w:tblCellMar>
    </w:tblPr>
  </w:style>
  <w:style w:type="numbering" w:customStyle="1" w:styleId="Bezlisty59">
    <w:name w:val="Bez listy59"/>
    <w:uiPriority w:val="99"/>
  </w:style>
  <w:style w:type="paragraph" w:customStyle="1" w:styleId="Normalny60">
    <w:name w:val="Normalny60"/>
    <w:qFormat/>
    <w:pPr>
      <w:spacing w:after="200"/>
    </w:pPr>
  </w:style>
  <w:style w:type="character" w:customStyle="1" w:styleId="Domylnaczcionkaakapitu60">
    <w:name w:val="Domyślna czcionka akapitu60"/>
    <w:uiPriority w:val="1"/>
  </w:style>
  <w:style w:type="table" w:customStyle="1" w:styleId="Standardowy60">
    <w:name w:val="Standardowy60"/>
    <w:uiPriority w:val="99"/>
    <w:tblPr>
      <w:tblInd w:w="0" w:type="dxa"/>
      <w:tblCellMar>
        <w:top w:w="0" w:type="dxa"/>
        <w:left w:w="108" w:type="dxa"/>
        <w:bottom w:w="0" w:type="dxa"/>
        <w:right w:w="108" w:type="dxa"/>
      </w:tblCellMar>
    </w:tblPr>
  </w:style>
  <w:style w:type="numbering" w:customStyle="1" w:styleId="Bezlisty60">
    <w:name w:val="Bez listy60"/>
    <w:uiPriority w:val="99"/>
  </w:style>
  <w:style w:type="paragraph" w:customStyle="1" w:styleId="Normalny61">
    <w:name w:val="Normalny61"/>
    <w:qFormat/>
    <w:pPr>
      <w:spacing w:after="200"/>
    </w:pPr>
  </w:style>
  <w:style w:type="character" w:customStyle="1" w:styleId="Domylnaczcionkaakapitu61">
    <w:name w:val="Domyślna czcionka akapitu61"/>
    <w:uiPriority w:val="1"/>
  </w:style>
  <w:style w:type="table" w:customStyle="1" w:styleId="Standardowy61">
    <w:name w:val="Standardowy61"/>
    <w:uiPriority w:val="99"/>
    <w:tblPr>
      <w:tblInd w:w="0" w:type="dxa"/>
      <w:tblCellMar>
        <w:top w:w="0" w:type="dxa"/>
        <w:left w:w="108" w:type="dxa"/>
        <w:bottom w:w="0" w:type="dxa"/>
        <w:right w:w="108" w:type="dxa"/>
      </w:tblCellMar>
    </w:tblPr>
  </w:style>
  <w:style w:type="numbering" w:customStyle="1" w:styleId="Bezlisty61">
    <w:name w:val="Bez listy61"/>
    <w:uiPriority w:val="99"/>
  </w:style>
  <w:style w:type="paragraph" w:customStyle="1" w:styleId="Normalny62">
    <w:name w:val="Normalny62"/>
    <w:qFormat/>
    <w:pPr>
      <w:spacing w:after="200"/>
    </w:pPr>
  </w:style>
  <w:style w:type="character" w:customStyle="1" w:styleId="Domylnaczcionkaakapitu62">
    <w:name w:val="Domyślna czcionka akapitu62"/>
    <w:uiPriority w:val="1"/>
  </w:style>
  <w:style w:type="table" w:customStyle="1" w:styleId="Standardowy62">
    <w:name w:val="Standardowy62"/>
    <w:uiPriority w:val="99"/>
    <w:tblPr>
      <w:tblInd w:w="0" w:type="dxa"/>
      <w:tblCellMar>
        <w:top w:w="0" w:type="dxa"/>
        <w:left w:w="108" w:type="dxa"/>
        <w:bottom w:w="0" w:type="dxa"/>
        <w:right w:w="108" w:type="dxa"/>
      </w:tblCellMar>
    </w:tblPr>
  </w:style>
  <w:style w:type="numbering" w:customStyle="1" w:styleId="Bezlisty62">
    <w:name w:val="Bez listy62"/>
    <w:uiPriority w:val="99"/>
  </w:style>
  <w:style w:type="paragraph" w:customStyle="1" w:styleId="Normalny63">
    <w:name w:val="Normalny63"/>
    <w:qFormat/>
    <w:pPr>
      <w:spacing w:after="200"/>
    </w:pPr>
  </w:style>
  <w:style w:type="character" w:customStyle="1" w:styleId="Domylnaczcionkaakapitu63">
    <w:name w:val="Domyślna czcionka akapitu63"/>
    <w:uiPriority w:val="1"/>
  </w:style>
  <w:style w:type="table" w:customStyle="1" w:styleId="Standardowy63">
    <w:name w:val="Standardowy63"/>
    <w:uiPriority w:val="99"/>
    <w:tblPr>
      <w:tblInd w:w="0" w:type="dxa"/>
      <w:tblCellMar>
        <w:top w:w="0" w:type="dxa"/>
        <w:left w:w="108" w:type="dxa"/>
        <w:bottom w:w="0" w:type="dxa"/>
        <w:right w:w="108" w:type="dxa"/>
      </w:tblCellMar>
    </w:tblPr>
  </w:style>
  <w:style w:type="numbering" w:customStyle="1" w:styleId="Bezlisty63">
    <w:name w:val="Bez listy63"/>
    <w:uiPriority w:val="99"/>
  </w:style>
  <w:style w:type="paragraph" w:customStyle="1" w:styleId="Normalny64">
    <w:name w:val="Normalny64"/>
    <w:qFormat/>
    <w:pPr>
      <w:spacing w:after="200"/>
    </w:pPr>
  </w:style>
  <w:style w:type="character" w:customStyle="1" w:styleId="Domylnaczcionkaakapitu64">
    <w:name w:val="Domyślna czcionka akapitu64"/>
    <w:uiPriority w:val="1"/>
  </w:style>
  <w:style w:type="table" w:customStyle="1" w:styleId="Standardowy64">
    <w:name w:val="Standardowy64"/>
    <w:uiPriority w:val="99"/>
    <w:tblPr>
      <w:tblInd w:w="0" w:type="dxa"/>
      <w:tblCellMar>
        <w:top w:w="0" w:type="dxa"/>
        <w:left w:w="108" w:type="dxa"/>
        <w:bottom w:w="0" w:type="dxa"/>
        <w:right w:w="108" w:type="dxa"/>
      </w:tblCellMar>
    </w:tblPr>
  </w:style>
  <w:style w:type="numbering" w:customStyle="1" w:styleId="Bezlisty64">
    <w:name w:val="Bez listy64"/>
    <w:uiPriority w:val="99"/>
  </w:style>
  <w:style w:type="paragraph" w:customStyle="1" w:styleId="Normalny65">
    <w:name w:val="Normalny65"/>
    <w:qFormat/>
    <w:pPr>
      <w:spacing w:after="200"/>
    </w:pPr>
  </w:style>
  <w:style w:type="character" w:customStyle="1" w:styleId="Domylnaczcionkaakapitu65">
    <w:name w:val="Domyślna czcionka akapitu65"/>
    <w:uiPriority w:val="1"/>
  </w:style>
  <w:style w:type="table" w:customStyle="1" w:styleId="Standardowy65">
    <w:name w:val="Standardowy65"/>
    <w:uiPriority w:val="99"/>
    <w:tblPr>
      <w:tblInd w:w="0" w:type="dxa"/>
      <w:tblCellMar>
        <w:top w:w="0" w:type="dxa"/>
        <w:left w:w="108" w:type="dxa"/>
        <w:bottom w:w="0" w:type="dxa"/>
        <w:right w:w="108" w:type="dxa"/>
      </w:tblCellMar>
    </w:tblPr>
  </w:style>
  <w:style w:type="numbering" w:customStyle="1" w:styleId="Bezlisty65">
    <w:name w:val="Bez listy65"/>
    <w:uiPriority w:val="99"/>
  </w:style>
  <w:style w:type="paragraph" w:customStyle="1" w:styleId="Normalny66">
    <w:name w:val="Normalny66"/>
    <w:qFormat/>
    <w:pPr>
      <w:spacing w:after="200"/>
    </w:pPr>
  </w:style>
  <w:style w:type="character" w:customStyle="1" w:styleId="Domylnaczcionkaakapitu66">
    <w:name w:val="Domyślna czcionka akapitu66"/>
    <w:uiPriority w:val="1"/>
  </w:style>
  <w:style w:type="table" w:customStyle="1" w:styleId="Standardowy66">
    <w:name w:val="Standardowy66"/>
    <w:uiPriority w:val="99"/>
    <w:tblPr>
      <w:tblInd w:w="0" w:type="dxa"/>
      <w:tblCellMar>
        <w:top w:w="0" w:type="dxa"/>
        <w:left w:w="108" w:type="dxa"/>
        <w:bottom w:w="0" w:type="dxa"/>
        <w:right w:w="108" w:type="dxa"/>
      </w:tblCellMar>
    </w:tblPr>
  </w:style>
  <w:style w:type="numbering" w:customStyle="1" w:styleId="Bezlisty66">
    <w:name w:val="Bez listy66"/>
    <w:uiPriority w:val="99"/>
  </w:style>
  <w:style w:type="paragraph" w:customStyle="1" w:styleId="Normalny67">
    <w:name w:val="Normalny67"/>
    <w:qFormat/>
    <w:pPr>
      <w:spacing w:after="200"/>
    </w:pPr>
  </w:style>
  <w:style w:type="character" w:customStyle="1" w:styleId="Domylnaczcionkaakapitu67">
    <w:name w:val="Domyślna czcionka akapitu67"/>
    <w:uiPriority w:val="1"/>
  </w:style>
  <w:style w:type="table" w:customStyle="1" w:styleId="Standardowy67">
    <w:name w:val="Standardowy67"/>
    <w:uiPriority w:val="99"/>
    <w:tblPr>
      <w:tblInd w:w="0" w:type="dxa"/>
      <w:tblCellMar>
        <w:top w:w="0" w:type="dxa"/>
        <w:left w:w="108" w:type="dxa"/>
        <w:bottom w:w="0" w:type="dxa"/>
        <w:right w:w="108" w:type="dxa"/>
      </w:tblCellMar>
    </w:tblPr>
  </w:style>
  <w:style w:type="numbering" w:customStyle="1" w:styleId="Bezlisty67">
    <w:name w:val="Bez listy67"/>
    <w:uiPriority w:val="99"/>
  </w:style>
  <w:style w:type="paragraph" w:customStyle="1" w:styleId="Normalny68">
    <w:name w:val="Normalny68"/>
    <w:qFormat/>
    <w:pPr>
      <w:spacing w:after="200"/>
    </w:pPr>
  </w:style>
  <w:style w:type="character" w:customStyle="1" w:styleId="Domylnaczcionkaakapitu68">
    <w:name w:val="Domyślna czcionka akapitu68"/>
    <w:uiPriority w:val="1"/>
  </w:style>
  <w:style w:type="table" w:customStyle="1" w:styleId="Standardowy68">
    <w:name w:val="Standardowy68"/>
    <w:uiPriority w:val="99"/>
    <w:tblPr>
      <w:tblInd w:w="0" w:type="dxa"/>
      <w:tblCellMar>
        <w:top w:w="0" w:type="dxa"/>
        <w:left w:w="108" w:type="dxa"/>
        <w:bottom w:w="0" w:type="dxa"/>
        <w:right w:w="108" w:type="dxa"/>
      </w:tblCellMar>
    </w:tblPr>
  </w:style>
  <w:style w:type="numbering" w:customStyle="1" w:styleId="Bezlisty68">
    <w:name w:val="Bez listy68"/>
    <w:uiPriority w:val="99"/>
  </w:style>
  <w:style w:type="paragraph" w:customStyle="1" w:styleId="Normalny69">
    <w:name w:val="Normalny69"/>
    <w:qFormat/>
    <w:pPr>
      <w:spacing w:after="200"/>
    </w:pPr>
  </w:style>
  <w:style w:type="character" w:customStyle="1" w:styleId="Domylnaczcionkaakapitu69">
    <w:name w:val="Domyślna czcionka akapitu69"/>
    <w:uiPriority w:val="1"/>
  </w:style>
  <w:style w:type="table" w:customStyle="1" w:styleId="Standardowy69">
    <w:name w:val="Standardowy69"/>
    <w:uiPriority w:val="99"/>
    <w:tblPr>
      <w:tblInd w:w="0" w:type="dxa"/>
      <w:tblCellMar>
        <w:top w:w="0" w:type="dxa"/>
        <w:left w:w="108" w:type="dxa"/>
        <w:bottom w:w="0" w:type="dxa"/>
        <w:right w:w="108" w:type="dxa"/>
      </w:tblCellMar>
    </w:tblPr>
  </w:style>
  <w:style w:type="numbering" w:customStyle="1" w:styleId="Bezlisty69">
    <w:name w:val="Bez listy69"/>
    <w:uiPriority w:val="99"/>
  </w:style>
  <w:style w:type="paragraph" w:customStyle="1" w:styleId="Normalny70">
    <w:name w:val="Normalny70"/>
    <w:qFormat/>
    <w:pPr>
      <w:spacing w:after="200"/>
    </w:pPr>
  </w:style>
  <w:style w:type="character" w:customStyle="1" w:styleId="Domylnaczcionkaakapitu70">
    <w:name w:val="Domyślna czcionka akapitu70"/>
    <w:uiPriority w:val="1"/>
  </w:style>
  <w:style w:type="table" w:customStyle="1" w:styleId="Standardowy70">
    <w:name w:val="Standardowy70"/>
    <w:uiPriority w:val="99"/>
    <w:tblPr>
      <w:tblInd w:w="0" w:type="dxa"/>
      <w:tblCellMar>
        <w:top w:w="0" w:type="dxa"/>
        <w:left w:w="108" w:type="dxa"/>
        <w:bottom w:w="0" w:type="dxa"/>
        <w:right w:w="108" w:type="dxa"/>
      </w:tblCellMar>
    </w:tblPr>
  </w:style>
  <w:style w:type="numbering" w:customStyle="1" w:styleId="Bezlisty70">
    <w:name w:val="Bez listy70"/>
    <w:uiPriority w:val="99"/>
  </w:style>
  <w:style w:type="paragraph" w:customStyle="1" w:styleId="Normalny71">
    <w:name w:val="Normalny71"/>
    <w:qFormat/>
    <w:pPr>
      <w:spacing w:after="200"/>
    </w:pPr>
  </w:style>
  <w:style w:type="character" w:customStyle="1" w:styleId="Domylnaczcionkaakapitu71">
    <w:name w:val="Domyślna czcionka akapitu71"/>
    <w:uiPriority w:val="1"/>
  </w:style>
  <w:style w:type="table" w:customStyle="1" w:styleId="Standardowy71">
    <w:name w:val="Standardowy71"/>
    <w:uiPriority w:val="99"/>
    <w:tblPr>
      <w:tblInd w:w="0" w:type="dxa"/>
      <w:tblCellMar>
        <w:top w:w="0" w:type="dxa"/>
        <w:left w:w="108" w:type="dxa"/>
        <w:bottom w:w="0" w:type="dxa"/>
        <w:right w:w="108" w:type="dxa"/>
      </w:tblCellMar>
    </w:tblPr>
  </w:style>
  <w:style w:type="numbering" w:customStyle="1" w:styleId="Bezlisty71">
    <w:name w:val="Bez listy71"/>
    <w:uiPriority w:val="99"/>
  </w:style>
  <w:style w:type="paragraph" w:customStyle="1" w:styleId="Normalny72">
    <w:name w:val="Normalny72"/>
    <w:qFormat/>
    <w:pPr>
      <w:spacing w:after="200"/>
    </w:pPr>
  </w:style>
  <w:style w:type="character" w:customStyle="1" w:styleId="Domylnaczcionkaakapitu72">
    <w:name w:val="Domyślna czcionka akapitu72"/>
    <w:uiPriority w:val="1"/>
  </w:style>
  <w:style w:type="table" w:customStyle="1" w:styleId="Standardowy72">
    <w:name w:val="Standardowy72"/>
    <w:uiPriority w:val="99"/>
    <w:tblPr>
      <w:tblInd w:w="0" w:type="dxa"/>
      <w:tblCellMar>
        <w:top w:w="0" w:type="dxa"/>
        <w:left w:w="108" w:type="dxa"/>
        <w:bottom w:w="0" w:type="dxa"/>
        <w:right w:w="108" w:type="dxa"/>
      </w:tblCellMar>
    </w:tblPr>
  </w:style>
  <w:style w:type="numbering" w:customStyle="1" w:styleId="Bezlisty72">
    <w:name w:val="Bez listy72"/>
    <w:uiPriority w:val="99"/>
  </w:style>
  <w:style w:type="paragraph" w:customStyle="1" w:styleId="Normalny73">
    <w:name w:val="Normalny73"/>
    <w:qFormat/>
    <w:pPr>
      <w:spacing w:after="200"/>
    </w:pPr>
  </w:style>
  <w:style w:type="character" w:customStyle="1" w:styleId="Domylnaczcionkaakapitu73">
    <w:name w:val="Domyślna czcionka akapitu73"/>
    <w:uiPriority w:val="1"/>
  </w:style>
  <w:style w:type="table" w:customStyle="1" w:styleId="Standardowy73">
    <w:name w:val="Standardowy73"/>
    <w:uiPriority w:val="99"/>
    <w:tblPr>
      <w:tblInd w:w="0" w:type="dxa"/>
      <w:tblCellMar>
        <w:top w:w="0" w:type="dxa"/>
        <w:left w:w="108" w:type="dxa"/>
        <w:bottom w:w="0" w:type="dxa"/>
        <w:right w:w="108" w:type="dxa"/>
      </w:tblCellMar>
    </w:tblPr>
  </w:style>
  <w:style w:type="numbering" w:customStyle="1" w:styleId="Bezlisty73">
    <w:name w:val="Bez listy73"/>
    <w:uiPriority w:val="99"/>
  </w:style>
  <w:style w:type="paragraph" w:customStyle="1" w:styleId="Normalny74">
    <w:name w:val="Normalny74"/>
    <w:qFormat/>
    <w:pPr>
      <w:spacing w:after="200"/>
    </w:pPr>
  </w:style>
  <w:style w:type="character" w:customStyle="1" w:styleId="Domylnaczcionkaakapitu74">
    <w:name w:val="Domyślna czcionka akapitu74"/>
    <w:uiPriority w:val="1"/>
  </w:style>
  <w:style w:type="table" w:customStyle="1" w:styleId="Standardowy74">
    <w:name w:val="Standardowy74"/>
    <w:uiPriority w:val="99"/>
    <w:tblPr>
      <w:tblInd w:w="0" w:type="dxa"/>
      <w:tblCellMar>
        <w:top w:w="0" w:type="dxa"/>
        <w:left w:w="108" w:type="dxa"/>
        <w:bottom w:w="0" w:type="dxa"/>
        <w:right w:w="108" w:type="dxa"/>
      </w:tblCellMar>
    </w:tblPr>
  </w:style>
  <w:style w:type="numbering" w:customStyle="1" w:styleId="Bezlisty74">
    <w:name w:val="Bez listy74"/>
    <w:uiPriority w:val="99"/>
  </w:style>
  <w:style w:type="paragraph" w:customStyle="1" w:styleId="Normalny75">
    <w:name w:val="Normalny75"/>
    <w:qFormat/>
    <w:pPr>
      <w:spacing w:after="200"/>
    </w:pPr>
  </w:style>
  <w:style w:type="character" w:customStyle="1" w:styleId="Domylnaczcionkaakapitu75">
    <w:name w:val="Domyślna czcionka akapitu75"/>
    <w:uiPriority w:val="1"/>
  </w:style>
  <w:style w:type="table" w:customStyle="1" w:styleId="Standardowy75">
    <w:name w:val="Standardowy75"/>
    <w:uiPriority w:val="99"/>
    <w:tblPr>
      <w:tblInd w:w="0" w:type="dxa"/>
      <w:tblCellMar>
        <w:top w:w="0" w:type="dxa"/>
        <w:left w:w="108" w:type="dxa"/>
        <w:bottom w:w="0" w:type="dxa"/>
        <w:right w:w="108" w:type="dxa"/>
      </w:tblCellMar>
    </w:tblPr>
  </w:style>
  <w:style w:type="numbering" w:customStyle="1" w:styleId="Bezlisty75">
    <w:name w:val="Bez listy75"/>
    <w:uiPriority w:val="99"/>
  </w:style>
  <w:style w:type="paragraph" w:customStyle="1" w:styleId="Normalny76">
    <w:name w:val="Normalny76"/>
    <w:qFormat/>
    <w:pPr>
      <w:spacing w:after="200"/>
    </w:pPr>
  </w:style>
  <w:style w:type="character" w:customStyle="1" w:styleId="Domylnaczcionkaakapitu76">
    <w:name w:val="Domyślna czcionka akapitu76"/>
    <w:uiPriority w:val="1"/>
  </w:style>
  <w:style w:type="table" w:customStyle="1" w:styleId="Standardowy76">
    <w:name w:val="Standardowy76"/>
    <w:uiPriority w:val="99"/>
    <w:tblPr>
      <w:tblInd w:w="0" w:type="dxa"/>
      <w:tblCellMar>
        <w:top w:w="0" w:type="dxa"/>
        <w:left w:w="108" w:type="dxa"/>
        <w:bottom w:w="0" w:type="dxa"/>
        <w:right w:w="108" w:type="dxa"/>
      </w:tblCellMar>
    </w:tblPr>
  </w:style>
  <w:style w:type="numbering" w:customStyle="1" w:styleId="Bezlisty76">
    <w:name w:val="Bez listy76"/>
    <w:uiPriority w:val="99"/>
  </w:style>
  <w:style w:type="paragraph" w:customStyle="1" w:styleId="Normalny77">
    <w:name w:val="Normalny77"/>
    <w:qFormat/>
    <w:pPr>
      <w:spacing w:after="200"/>
    </w:pPr>
  </w:style>
  <w:style w:type="character" w:customStyle="1" w:styleId="Domylnaczcionkaakapitu77">
    <w:name w:val="Domyślna czcionka akapitu77"/>
    <w:uiPriority w:val="1"/>
  </w:style>
  <w:style w:type="table" w:customStyle="1" w:styleId="Standardowy77">
    <w:name w:val="Standardowy77"/>
    <w:uiPriority w:val="99"/>
    <w:tblPr>
      <w:tblInd w:w="0" w:type="dxa"/>
      <w:tblCellMar>
        <w:top w:w="0" w:type="dxa"/>
        <w:left w:w="108" w:type="dxa"/>
        <w:bottom w:w="0" w:type="dxa"/>
        <w:right w:w="108" w:type="dxa"/>
      </w:tblCellMar>
    </w:tblPr>
  </w:style>
  <w:style w:type="numbering" w:customStyle="1" w:styleId="Bezlisty77">
    <w:name w:val="Bez listy77"/>
    <w:uiPriority w:val="99"/>
  </w:style>
  <w:style w:type="paragraph" w:customStyle="1" w:styleId="Normalny78">
    <w:name w:val="Normalny78"/>
    <w:qFormat/>
    <w:pPr>
      <w:spacing w:after="200"/>
    </w:pPr>
  </w:style>
  <w:style w:type="character" w:customStyle="1" w:styleId="Domylnaczcionkaakapitu78">
    <w:name w:val="Domyślna czcionka akapitu78"/>
    <w:uiPriority w:val="1"/>
  </w:style>
  <w:style w:type="table" w:customStyle="1" w:styleId="Standardowy78">
    <w:name w:val="Standardowy78"/>
    <w:uiPriority w:val="99"/>
    <w:tblPr>
      <w:tblInd w:w="0" w:type="dxa"/>
      <w:tblCellMar>
        <w:top w:w="0" w:type="dxa"/>
        <w:left w:w="108" w:type="dxa"/>
        <w:bottom w:w="0" w:type="dxa"/>
        <w:right w:w="108" w:type="dxa"/>
      </w:tblCellMar>
    </w:tblPr>
  </w:style>
  <w:style w:type="numbering" w:customStyle="1" w:styleId="Bezlisty78">
    <w:name w:val="Bez listy78"/>
    <w:uiPriority w:val="99"/>
  </w:style>
  <w:style w:type="paragraph" w:customStyle="1" w:styleId="Normalny79">
    <w:name w:val="Normalny79"/>
    <w:qFormat/>
    <w:pPr>
      <w:spacing w:after="200"/>
    </w:pPr>
  </w:style>
  <w:style w:type="character" w:customStyle="1" w:styleId="Domylnaczcionkaakapitu79">
    <w:name w:val="Domyślna czcionka akapitu79"/>
    <w:uiPriority w:val="1"/>
  </w:style>
  <w:style w:type="table" w:customStyle="1" w:styleId="Standardowy79">
    <w:name w:val="Standardowy79"/>
    <w:uiPriority w:val="99"/>
    <w:tblPr>
      <w:tblInd w:w="0" w:type="dxa"/>
      <w:tblCellMar>
        <w:top w:w="0" w:type="dxa"/>
        <w:left w:w="108" w:type="dxa"/>
        <w:bottom w:w="0" w:type="dxa"/>
        <w:right w:w="108" w:type="dxa"/>
      </w:tblCellMar>
    </w:tblPr>
  </w:style>
  <w:style w:type="numbering" w:customStyle="1" w:styleId="Bezlisty79">
    <w:name w:val="Bez listy79"/>
    <w:uiPriority w:val="99"/>
  </w:style>
  <w:style w:type="paragraph" w:customStyle="1" w:styleId="Normalny80">
    <w:name w:val="Normalny80"/>
    <w:qFormat/>
    <w:pPr>
      <w:spacing w:after="200"/>
    </w:pPr>
  </w:style>
  <w:style w:type="character" w:customStyle="1" w:styleId="Domylnaczcionkaakapitu80">
    <w:name w:val="Domyślna czcionka akapitu80"/>
    <w:uiPriority w:val="1"/>
  </w:style>
  <w:style w:type="table" w:customStyle="1" w:styleId="Standardowy80">
    <w:name w:val="Standardowy80"/>
    <w:uiPriority w:val="99"/>
    <w:tblPr>
      <w:tblInd w:w="0" w:type="dxa"/>
      <w:tblCellMar>
        <w:top w:w="0" w:type="dxa"/>
        <w:left w:w="108" w:type="dxa"/>
        <w:bottom w:w="0" w:type="dxa"/>
        <w:right w:w="108" w:type="dxa"/>
      </w:tblCellMar>
    </w:tblPr>
  </w:style>
  <w:style w:type="numbering" w:customStyle="1" w:styleId="Bezlisty80">
    <w:name w:val="Bez listy80"/>
    <w:uiPriority w:val="99"/>
  </w:style>
  <w:style w:type="paragraph" w:customStyle="1" w:styleId="Normalny81">
    <w:name w:val="Normalny81"/>
    <w:qFormat/>
    <w:pPr>
      <w:spacing w:after="200"/>
    </w:pPr>
  </w:style>
  <w:style w:type="character" w:customStyle="1" w:styleId="Domylnaczcionkaakapitu81">
    <w:name w:val="Domyślna czcionka akapitu81"/>
    <w:uiPriority w:val="1"/>
  </w:style>
  <w:style w:type="table" w:customStyle="1" w:styleId="Standardowy81">
    <w:name w:val="Standardowy81"/>
    <w:uiPriority w:val="99"/>
    <w:tblPr>
      <w:tblInd w:w="0" w:type="dxa"/>
      <w:tblCellMar>
        <w:top w:w="0" w:type="dxa"/>
        <w:left w:w="108" w:type="dxa"/>
        <w:bottom w:w="0" w:type="dxa"/>
        <w:right w:w="108" w:type="dxa"/>
      </w:tblCellMar>
    </w:tblPr>
  </w:style>
  <w:style w:type="numbering" w:customStyle="1" w:styleId="Bezlisty81">
    <w:name w:val="Bez listy81"/>
    <w:uiPriority w:val="99"/>
  </w:style>
  <w:style w:type="paragraph" w:customStyle="1" w:styleId="Normalny82">
    <w:name w:val="Normalny82"/>
    <w:qFormat/>
    <w:pPr>
      <w:spacing w:after="200"/>
    </w:pPr>
  </w:style>
  <w:style w:type="character" w:customStyle="1" w:styleId="Domylnaczcionkaakapitu82">
    <w:name w:val="Domyślna czcionka akapitu82"/>
    <w:uiPriority w:val="1"/>
  </w:style>
  <w:style w:type="table" w:customStyle="1" w:styleId="Standardowy82">
    <w:name w:val="Standardowy82"/>
    <w:uiPriority w:val="99"/>
    <w:tblPr>
      <w:tblInd w:w="0" w:type="dxa"/>
      <w:tblCellMar>
        <w:top w:w="0" w:type="dxa"/>
        <w:left w:w="108" w:type="dxa"/>
        <w:bottom w:w="0" w:type="dxa"/>
        <w:right w:w="108" w:type="dxa"/>
      </w:tblCellMar>
    </w:tblPr>
  </w:style>
  <w:style w:type="numbering" w:customStyle="1" w:styleId="Bezlisty82">
    <w:name w:val="Bez listy82"/>
    <w:uiPriority w:val="99"/>
  </w:style>
  <w:style w:type="paragraph" w:customStyle="1" w:styleId="Normalny83">
    <w:name w:val="Normalny83"/>
    <w:qFormat/>
    <w:pPr>
      <w:spacing w:after="200"/>
    </w:pPr>
  </w:style>
  <w:style w:type="character" w:customStyle="1" w:styleId="Domylnaczcionkaakapitu83">
    <w:name w:val="Domyślna czcionka akapitu83"/>
    <w:uiPriority w:val="1"/>
  </w:style>
  <w:style w:type="table" w:customStyle="1" w:styleId="Standardowy83">
    <w:name w:val="Standardowy83"/>
    <w:uiPriority w:val="99"/>
    <w:tblPr>
      <w:tblInd w:w="0" w:type="dxa"/>
      <w:tblCellMar>
        <w:top w:w="0" w:type="dxa"/>
        <w:left w:w="108" w:type="dxa"/>
        <w:bottom w:w="0" w:type="dxa"/>
        <w:right w:w="108" w:type="dxa"/>
      </w:tblCellMar>
    </w:tblPr>
  </w:style>
  <w:style w:type="numbering" w:customStyle="1" w:styleId="Bezlisty83">
    <w:name w:val="Bez listy83"/>
    <w:uiPriority w:val="99"/>
  </w:style>
  <w:style w:type="paragraph" w:customStyle="1" w:styleId="Normalny84">
    <w:name w:val="Normalny84"/>
    <w:qFormat/>
    <w:pPr>
      <w:spacing w:after="200"/>
    </w:pPr>
  </w:style>
  <w:style w:type="character" w:customStyle="1" w:styleId="Domylnaczcionkaakapitu84">
    <w:name w:val="Domyślna czcionka akapitu84"/>
    <w:uiPriority w:val="1"/>
  </w:style>
  <w:style w:type="table" w:customStyle="1" w:styleId="Standardowy84">
    <w:name w:val="Standardowy84"/>
    <w:uiPriority w:val="99"/>
    <w:tblPr>
      <w:tblInd w:w="0" w:type="dxa"/>
      <w:tblCellMar>
        <w:top w:w="0" w:type="dxa"/>
        <w:left w:w="108" w:type="dxa"/>
        <w:bottom w:w="0" w:type="dxa"/>
        <w:right w:w="108" w:type="dxa"/>
      </w:tblCellMar>
    </w:tblPr>
  </w:style>
  <w:style w:type="numbering" w:customStyle="1" w:styleId="Bezlisty84">
    <w:name w:val="Bez listy84"/>
    <w:uiPriority w:val="99"/>
  </w:style>
  <w:style w:type="paragraph" w:customStyle="1" w:styleId="Normalny85">
    <w:name w:val="Normalny85"/>
    <w:qFormat/>
    <w:pPr>
      <w:spacing w:after="200"/>
    </w:pPr>
  </w:style>
  <w:style w:type="character" w:customStyle="1" w:styleId="Domylnaczcionkaakapitu85">
    <w:name w:val="Domyślna czcionka akapitu85"/>
    <w:uiPriority w:val="1"/>
  </w:style>
  <w:style w:type="table" w:customStyle="1" w:styleId="Standardowy85">
    <w:name w:val="Standardowy85"/>
    <w:uiPriority w:val="99"/>
    <w:tblPr>
      <w:tblInd w:w="0" w:type="dxa"/>
      <w:tblCellMar>
        <w:top w:w="0" w:type="dxa"/>
        <w:left w:w="108" w:type="dxa"/>
        <w:bottom w:w="0" w:type="dxa"/>
        <w:right w:w="108" w:type="dxa"/>
      </w:tblCellMar>
    </w:tblPr>
  </w:style>
  <w:style w:type="numbering" w:customStyle="1" w:styleId="Bezlisty85">
    <w:name w:val="Bez listy85"/>
    <w:uiPriority w:val="99"/>
  </w:style>
  <w:style w:type="paragraph" w:customStyle="1" w:styleId="Normalny86">
    <w:name w:val="Normalny86"/>
    <w:qFormat/>
    <w:pPr>
      <w:spacing w:after="200"/>
    </w:pPr>
  </w:style>
  <w:style w:type="character" w:customStyle="1" w:styleId="Domylnaczcionkaakapitu86">
    <w:name w:val="Domyślna czcionka akapitu86"/>
    <w:uiPriority w:val="1"/>
  </w:style>
  <w:style w:type="table" w:customStyle="1" w:styleId="Standardowy86">
    <w:name w:val="Standardowy86"/>
    <w:uiPriority w:val="99"/>
    <w:tblPr>
      <w:tblInd w:w="0" w:type="dxa"/>
      <w:tblCellMar>
        <w:top w:w="0" w:type="dxa"/>
        <w:left w:w="108" w:type="dxa"/>
        <w:bottom w:w="0" w:type="dxa"/>
        <w:right w:w="108" w:type="dxa"/>
      </w:tblCellMar>
    </w:tblPr>
  </w:style>
  <w:style w:type="numbering" w:customStyle="1" w:styleId="Bezlisty86">
    <w:name w:val="Bez listy86"/>
    <w:uiPriority w:val="99"/>
  </w:style>
  <w:style w:type="paragraph" w:customStyle="1" w:styleId="Normalny87">
    <w:name w:val="Normalny87"/>
    <w:qFormat/>
    <w:pPr>
      <w:spacing w:after="200"/>
    </w:pPr>
  </w:style>
  <w:style w:type="character" w:customStyle="1" w:styleId="Domylnaczcionkaakapitu87">
    <w:name w:val="Domyślna czcionka akapitu87"/>
    <w:uiPriority w:val="1"/>
  </w:style>
  <w:style w:type="table" w:customStyle="1" w:styleId="Standardowy87">
    <w:name w:val="Standardowy87"/>
    <w:uiPriority w:val="99"/>
    <w:tblPr>
      <w:tblInd w:w="0" w:type="dxa"/>
      <w:tblCellMar>
        <w:top w:w="0" w:type="dxa"/>
        <w:left w:w="108" w:type="dxa"/>
        <w:bottom w:w="0" w:type="dxa"/>
        <w:right w:w="108" w:type="dxa"/>
      </w:tblCellMar>
    </w:tblPr>
  </w:style>
  <w:style w:type="numbering" w:customStyle="1" w:styleId="Bezlisty87">
    <w:name w:val="Bez listy87"/>
    <w:uiPriority w:val="99"/>
  </w:style>
  <w:style w:type="paragraph" w:customStyle="1" w:styleId="Normalny88">
    <w:name w:val="Normalny88"/>
    <w:qFormat/>
    <w:pPr>
      <w:spacing w:after="200"/>
    </w:pPr>
  </w:style>
  <w:style w:type="character" w:customStyle="1" w:styleId="Domylnaczcionkaakapitu88">
    <w:name w:val="Domyślna czcionka akapitu88"/>
    <w:uiPriority w:val="1"/>
  </w:style>
  <w:style w:type="table" w:customStyle="1" w:styleId="Standardowy88">
    <w:name w:val="Standardowy88"/>
    <w:uiPriority w:val="99"/>
    <w:tblPr>
      <w:tblInd w:w="0" w:type="dxa"/>
      <w:tblCellMar>
        <w:top w:w="0" w:type="dxa"/>
        <w:left w:w="108" w:type="dxa"/>
        <w:bottom w:w="0" w:type="dxa"/>
        <w:right w:w="108" w:type="dxa"/>
      </w:tblCellMar>
    </w:tblPr>
  </w:style>
  <w:style w:type="numbering" w:customStyle="1" w:styleId="Bezlisty88">
    <w:name w:val="Bez listy88"/>
    <w:uiPriority w:val="99"/>
  </w:style>
  <w:style w:type="paragraph" w:customStyle="1" w:styleId="Normalny89">
    <w:name w:val="Normalny89"/>
    <w:qFormat/>
    <w:pPr>
      <w:spacing w:after="200"/>
    </w:pPr>
  </w:style>
  <w:style w:type="character" w:customStyle="1" w:styleId="Domylnaczcionkaakapitu89">
    <w:name w:val="Domyślna czcionka akapitu89"/>
    <w:uiPriority w:val="1"/>
  </w:style>
  <w:style w:type="table" w:customStyle="1" w:styleId="Standardowy89">
    <w:name w:val="Standardowy89"/>
    <w:uiPriority w:val="99"/>
    <w:tblPr>
      <w:tblInd w:w="0" w:type="dxa"/>
      <w:tblCellMar>
        <w:top w:w="0" w:type="dxa"/>
        <w:left w:w="108" w:type="dxa"/>
        <w:bottom w:w="0" w:type="dxa"/>
        <w:right w:w="108" w:type="dxa"/>
      </w:tblCellMar>
    </w:tblPr>
  </w:style>
  <w:style w:type="numbering" w:customStyle="1" w:styleId="Bezlisty89">
    <w:name w:val="Bez listy89"/>
    <w:uiPriority w:val="99"/>
  </w:style>
  <w:style w:type="paragraph" w:customStyle="1" w:styleId="Normalny90">
    <w:name w:val="Normalny90"/>
    <w:qFormat/>
    <w:pPr>
      <w:spacing w:after="200"/>
    </w:pPr>
  </w:style>
  <w:style w:type="character" w:customStyle="1" w:styleId="Domylnaczcionkaakapitu90">
    <w:name w:val="Domyślna czcionka akapitu90"/>
    <w:uiPriority w:val="1"/>
  </w:style>
  <w:style w:type="table" w:customStyle="1" w:styleId="Standardowy90">
    <w:name w:val="Standardowy90"/>
    <w:uiPriority w:val="99"/>
    <w:tblPr>
      <w:tblInd w:w="0" w:type="dxa"/>
      <w:tblCellMar>
        <w:top w:w="0" w:type="dxa"/>
        <w:left w:w="108" w:type="dxa"/>
        <w:bottom w:w="0" w:type="dxa"/>
        <w:right w:w="108" w:type="dxa"/>
      </w:tblCellMar>
    </w:tblPr>
  </w:style>
  <w:style w:type="numbering" w:customStyle="1" w:styleId="Bezlisty90">
    <w:name w:val="Bez listy90"/>
    <w:uiPriority w:val="99"/>
  </w:style>
  <w:style w:type="paragraph" w:customStyle="1" w:styleId="Normalny91">
    <w:name w:val="Normalny91"/>
    <w:qFormat/>
    <w:pPr>
      <w:spacing w:after="200"/>
    </w:pPr>
  </w:style>
  <w:style w:type="character" w:customStyle="1" w:styleId="Domylnaczcionkaakapitu91">
    <w:name w:val="Domyślna czcionka akapitu91"/>
    <w:uiPriority w:val="1"/>
  </w:style>
  <w:style w:type="table" w:customStyle="1" w:styleId="Standardowy91">
    <w:name w:val="Standardowy91"/>
    <w:uiPriority w:val="99"/>
    <w:tblPr>
      <w:tblInd w:w="0" w:type="dxa"/>
      <w:tblCellMar>
        <w:top w:w="0" w:type="dxa"/>
        <w:left w:w="108" w:type="dxa"/>
        <w:bottom w:w="0" w:type="dxa"/>
        <w:right w:w="108" w:type="dxa"/>
      </w:tblCellMar>
    </w:tblPr>
  </w:style>
  <w:style w:type="numbering" w:customStyle="1" w:styleId="Bezlisty91">
    <w:name w:val="Bez listy91"/>
    <w:uiPriority w:val="99"/>
  </w:style>
  <w:style w:type="paragraph" w:customStyle="1" w:styleId="Normalny92">
    <w:name w:val="Normalny92"/>
    <w:qFormat/>
    <w:pPr>
      <w:spacing w:after="200"/>
    </w:pPr>
  </w:style>
  <w:style w:type="character" w:customStyle="1" w:styleId="Domylnaczcionkaakapitu92">
    <w:name w:val="Domyślna czcionka akapitu92"/>
    <w:uiPriority w:val="1"/>
  </w:style>
  <w:style w:type="table" w:customStyle="1" w:styleId="Standardowy92">
    <w:name w:val="Standardowy92"/>
    <w:uiPriority w:val="99"/>
    <w:tblPr>
      <w:tblInd w:w="0" w:type="dxa"/>
      <w:tblCellMar>
        <w:top w:w="0" w:type="dxa"/>
        <w:left w:w="108" w:type="dxa"/>
        <w:bottom w:w="0" w:type="dxa"/>
        <w:right w:w="108" w:type="dxa"/>
      </w:tblCellMar>
    </w:tblPr>
  </w:style>
  <w:style w:type="numbering" w:customStyle="1" w:styleId="Bezlisty92">
    <w:name w:val="Bez listy92"/>
    <w:uiPriority w:val="99"/>
  </w:style>
  <w:style w:type="paragraph" w:customStyle="1" w:styleId="Normalny93">
    <w:name w:val="Normalny93"/>
    <w:qFormat/>
    <w:pPr>
      <w:spacing w:after="200"/>
    </w:pPr>
  </w:style>
  <w:style w:type="character" w:customStyle="1" w:styleId="Domylnaczcionkaakapitu93">
    <w:name w:val="Domyślna czcionka akapitu93"/>
    <w:uiPriority w:val="1"/>
  </w:style>
  <w:style w:type="table" w:customStyle="1" w:styleId="Standardowy93">
    <w:name w:val="Standardowy93"/>
    <w:uiPriority w:val="99"/>
    <w:tblPr>
      <w:tblInd w:w="0" w:type="dxa"/>
      <w:tblCellMar>
        <w:top w:w="0" w:type="dxa"/>
        <w:left w:w="108" w:type="dxa"/>
        <w:bottom w:w="0" w:type="dxa"/>
        <w:right w:w="108" w:type="dxa"/>
      </w:tblCellMar>
    </w:tblPr>
  </w:style>
  <w:style w:type="numbering" w:customStyle="1" w:styleId="Bezlisty93">
    <w:name w:val="Bez listy93"/>
    <w:uiPriority w:val="99"/>
  </w:style>
  <w:style w:type="paragraph" w:customStyle="1" w:styleId="Normalny94">
    <w:name w:val="Normalny94"/>
    <w:qFormat/>
    <w:pPr>
      <w:spacing w:after="200"/>
    </w:pPr>
  </w:style>
  <w:style w:type="character" w:customStyle="1" w:styleId="Domylnaczcionkaakapitu94">
    <w:name w:val="Domyślna czcionka akapitu94"/>
    <w:uiPriority w:val="1"/>
  </w:style>
  <w:style w:type="table" w:customStyle="1" w:styleId="Standardowy94">
    <w:name w:val="Standardowy94"/>
    <w:uiPriority w:val="99"/>
    <w:tblPr>
      <w:tblInd w:w="0" w:type="dxa"/>
      <w:tblCellMar>
        <w:top w:w="0" w:type="dxa"/>
        <w:left w:w="108" w:type="dxa"/>
        <w:bottom w:w="0" w:type="dxa"/>
        <w:right w:w="108" w:type="dxa"/>
      </w:tblCellMar>
    </w:tblPr>
  </w:style>
  <w:style w:type="numbering" w:customStyle="1" w:styleId="Bezlisty94">
    <w:name w:val="Bez listy94"/>
    <w:uiPriority w:val="99"/>
  </w:style>
  <w:style w:type="paragraph" w:customStyle="1" w:styleId="Normalny95">
    <w:name w:val="Normalny95"/>
    <w:qFormat/>
    <w:pPr>
      <w:spacing w:after="200"/>
    </w:pPr>
  </w:style>
  <w:style w:type="character" w:customStyle="1" w:styleId="Domylnaczcionkaakapitu95">
    <w:name w:val="Domyślna czcionka akapitu95"/>
    <w:uiPriority w:val="1"/>
  </w:style>
  <w:style w:type="table" w:customStyle="1" w:styleId="Standardowy95">
    <w:name w:val="Standardowy95"/>
    <w:uiPriority w:val="99"/>
    <w:tblPr>
      <w:tblInd w:w="0" w:type="dxa"/>
      <w:tblCellMar>
        <w:top w:w="0" w:type="dxa"/>
        <w:left w:w="108" w:type="dxa"/>
        <w:bottom w:w="0" w:type="dxa"/>
        <w:right w:w="108" w:type="dxa"/>
      </w:tblCellMar>
    </w:tblPr>
  </w:style>
  <w:style w:type="numbering" w:customStyle="1" w:styleId="Bezlisty95">
    <w:name w:val="Bez listy95"/>
    <w:uiPriority w:val="99"/>
  </w:style>
  <w:style w:type="paragraph" w:customStyle="1" w:styleId="Normalny96">
    <w:name w:val="Normalny96"/>
    <w:qFormat/>
    <w:pPr>
      <w:spacing w:after="200"/>
    </w:pPr>
  </w:style>
  <w:style w:type="character" w:customStyle="1" w:styleId="Domylnaczcionkaakapitu96">
    <w:name w:val="Domyślna czcionka akapitu96"/>
    <w:uiPriority w:val="1"/>
  </w:style>
  <w:style w:type="table" w:customStyle="1" w:styleId="Standardowy96">
    <w:name w:val="Standardowy96"/>
    <w:uiPriority w:val="99"/>
    <w:tblPr>
      <w:tblInd w:w="0" w:type="dxa"/>
      <w:tblCellMar>
        <w:top w:w="0" w:type="dxa"/>
        <w:left w:w="108" w:type="dxa"/>
        <w:bottom w:w="0" w:type="dxa"/>
        <w:right w:w="108" w:type="dxa"/>
      </w:tblCellMar>
    </w:tblPr>
  </w:style>
  <w:style w:type="numbering" w:customStyle="1" w:styleId="Bezlisty96">
    <w:name w:val="Bez listy96"/>
    <w:uiPriority w:val="99"/>
  </w:style>
  <w:style w:type="paragraph" w:customStyle="1" w:styleId="Normalny97">
    <w:name w:val="Normalny97"/>
    <w:qFormat/>
    <w:pPr>
      <w:spacing w:after="200"/>
    </w:pPr>
  </w:style>
  <w:style w:type="character" w:customStyle="1" w:styleId="Domylnaczcionkaakapitu97">
    <w:name w:val="Domyślna czcionka akapitu97"/>
    <w:uiPriority w:val="1"/>
  </w:style>
  <w:style w:type="table" w:customStyle="1" w:styleId="Standardowy97">
    <w:name w:val="Standardowy97"/>
    <w:uiPriority w:val="99"/>
    <w:tblPr>
      <w:tblInd w:w="0" w:type="dxa"/>
      <w:tblCellMar>
        <w:top w:w="0" w:type="dxa"/>
        <w:left w:w="108" w:type="dxa"/>
        <w:bottom w:w="0" w:type="dxa"/>
        <w:right w:w="108" w:type="dxa"/>
      </w:tblCellMar>
    </w:tblPr>
  </w:style>
  <w:style w:type="numbering" w:customStyle="1" w:styleId="Bezlisty97">
    <w:name w:val="Bez listy97"/>
    <w:uiPriority w:val="99"/>
  </w:style>
  <w:style w:type="paragraph" w:customStyle="1" w:styleId="Normalny98">
    <w:name w:val="Normalny98"/>
    <w:qFormat/>
    <w:pPr>
      <w:spacing w:after="200"/>
    </w:pPr>
  </w:style>
  <w:style w:type="character" w:customStyle="1" w:styleId="Domylnaczcionkaakapitu98">
    <w:name w:val="Domyślna czcionka akapitu98"/>
    <w:uiPriority w:val="1"/>
  </w:style>
  <w:style w:type="table" w:customStyle="1" w:styleId="Standardowy98">
    <w:name w:val="Standardowy98"/>
    <w:uiPriority w:val="99"/>
    <w:tblPr>
      <w:tblInd w:w="0" w:type="dxa"/>
      <w:tblCellMar>
        <w:top w:w="0" w:type="dxa"/>
        <w:left w:w="108" w:type="dxa"/>
        <w:bottom w:w="0" w:type="dxa"/>
        <w:right w:w="108" w:type="dxa"/>
      </w:tblCellMar>
    </w:tblPr>
  </w:style>
  <w:style w:type="numbering" w:customStyle="1" w:styleId="Bezlisty98">
    <w:name w:val="Bez listy98"/>
    <w:uiPriority w:val="99"/>
  </w:style>
  <w:style w:type="paragraph" w:customStyle="1" w:styleId="Normalny99">
    <w:name w:val="Normalny99"/>
    <w:qFormat/>
    <w:pPr>
      <w:spacing w:after="200"/>
    </w:pPr>
  </w:style>
  <w:style w:type="character" w:customStyle="1" w:styleId="Domylnaczcionkaakapitu99">
    <w:name w:val="Domyślna czcionka akapitu99"/>
    <w:uiPriority w:val="1"/>
  </w:style>
  <w:style w:type="table" w:customStyle="1" w:styleId="Standardowy99">
    <w:name w:val="Standardowy99"/>
    <w:uiPriority w:val="99"/>
    <w:tblPr>
      <w:tblInd w:w="0" w:type="dxa"/>
      <w:tblCellMar>
        <w:top w:w="0" w:type="dxa"/>
        <w:left w:w="108" w:type="dxa"/>
        <w:bottom w:w="0" w:type="dxa"/>
        <w:right w:w="108" w:type="dxa"/>
      </w:tblCellMar>
    </w:tblPr>
  </w:style>
  <w:style w:type="numbering" w:customStyle="1" w:styleId="Bezlisty99">
    <w:name w:val="Bez listy99"/>
    <w:uiPriority w:val="99"/>
  </w:style>
  <w:style w:type="paragraph" w:customStyle="1" w:styleId="Normalny100">
    <w:name w:val="Normalny100"/>
    <w:qFormat/>
    <w:pPr>
      <w:spacing w:after="200"/>
    </w:pPr>
  </w:style>
  <w:style w:type="character" w:customStyle="1" w:styleId="Domylnaczcionkaakapitu100">
    <w:name w:val="Domyślna czcionka akapitu100"/>
    <w:uiPriority w:val="1"/>
  </w:style>
  <w:style w:type="table" w:customStyle="1" w:styleId="Standardowy100">
    <w:name w:val="Standardowy100"/>
    <w:uiPriority w:val="99"/>
    <w:tblPr>
      <w:tblInd w:w="0" w:type="dxa"/>
      <w:tblCellMar>
        <w:top w:w="0" w:type="dxa"/>
        <w:left w:w="108" w:type="dxa"/>
        <w:bottom w:w="0" w:type="dxa"/>
        <w:right w:w="108" w:type="dxa"/>
      </w:tblCellMar>
    </w:tblPr>
  </w:style>
  <w:style w:type="numbering" w:customStyle="1" w:styleId="Bezlisty100">
    <w:name w:val="Bez listy100"/>
    <w:uiPriority w:val="99"/>
  </w:style>
  <w:style w:type="paragraph" w:customStyle="1" w:styleId="Normalny101">
    <w:name w:val="Normalny101"/>
    <w:qFormat/>
    <w:pPr>
      <w:spacing w:after="200"/>
    </w:pPr>
  </w:style>
  <w:style w:type="character" w:customStyle="1" w:styleId="Domylnaczcionkaakapitu101">
    <w:name w:val="Domyślna czcionka akapitu101"/>
    <w:uiPriority w:val="1"/>
  </w:style>
  <w:style w:type="table" w:customStyle="1" w:styleId="Standardowy101">
    <w:name w:val="Standardowy101"/>
    <w:uiPriority w:val="99"/>
    <w:tblPr>
      <w:tblInd w:w="0" w:type="dxa"/>
      <w:tblCellMar>
        <w:top w:w="0" w:type="dxa"/>
        <w:left w:w="108" w:type="dxa"/>
        <w:bottom w:w="0" w:type="dxa"/>
        <w:right w:w="108" w:type="dxa"/>
      </w:tblCellMar>
    </w:tblPr>
  </w:style>
  <w:style w:type="numbering" w:customStyle="1" w:styleId="Bezlisty101">
    <w:name w:val="Bez listy101"/>
    <w:uiPriority w:val="99"/>
  </w:style>
  <w:style w:type="paragraph" w:customStyle="1" w:styleId="Normalny102">
    <w:name w:val="Normalny102"/>
    <w:qFormat/>
    <w:pPr>
      <w:spacing w:after="200"/>
    </w:pPr>
  </w:style>
  <w:style w:type="character" w:customStyle="1" w:styleId="Domylnaczcionkaakapitu102">
    <w:name w:val="Domyślna czcionka akapitu102"/>
    <w:uiPriority w:val="1"/>
  </w:style>
  <w:style w:type="table" w:customStyle="1" w:styleId="Standardowy102">
    <w:name w:val="Standardowy102"/>
    <w:uiPriority w:val="99"/>
    <w:tblPr>
      <w:tblInd w:w="0" w:type="dxa"/>
      <w:tblCellMar>
        <w:top w:w="0" w:type="dxa"/>
        <w:left w:w="108" w:type="dxa"/>
        <w:bottom w:w="0" w:type="dxa"/>
        <w:right w:w="108" w:type="dxa"/>
      </w:tblCellMar>
    </w:tblPr>
  </w:style>
  <w:style w:type="numbering" w:customStyle="1" w:styleId="Bezlisty102">
    <w:name w:val="Bez listy102"/>
    <w:uiPriority w:val="99"/>
  </w:style>
  <w:style w:type="paragraph" w:customStyle="1" w:styleId="Normalny103">
    <w:name w:val="Normalny103"/>
    <w:qFormat/>
    <w:pPr>
      <w:spacing w:after="200"/>
    </w:pPr>
  </w:style>
  <w:style w:type="character" w:customStyle="1" w:styleId="Domylnaczcionkaakapitu103">
    <w:name w:val="Domyślna czcionka akapitu103"/>
    <w:uiPriority w:val="1"/>
  </w:style>
  <w:style w:type="table" w:customStyle="1" w:styleId="Standardowy103">
    <w:name w:val="Standardowy103"/>
    <w:uiPriority w:val="99"/>
    <w:tblPr>
      <w:tblInd w:w="0" w:type="dxa"/>
      <w:tblCellMar>
        <w:top w:w="0" w:type="dxa"/>
        <w:left w:w="108" w:type="dxa"/>
        <w:bottom w:w="0" w:type="dxa"/>
        <w:right w:w="108" w:type="dxa"/>
      </w:tblCellMar>
    </w:tblPr>
  </w:style>
  <w:style w:type="numbering" w:customStyle="1" w:styleId="Bezlisty103">
    <w:name w:val="Bez listy103"/>
    <w:uiPriority w:val="99"/>
  </w:style>
  <w:style w:type="paragraph" w:customStyle="1" w:styleId="Normalny104">
    <w:name w:val="Normalny104"/>
    <w:qFormat/>
    <w:pPr>
      <w:spacing w:after="200"/>
    </w:pPr>
  </w:style>
  <w:style w:type="character" w:customStyle="1" w:styleId="Domylnaczcionkaakapitu104">
    <w:name w:val="Domyślna czcionka akapitu104"/>
    <w:uiPriority w:val="1"/>
  </w:style>
  <w:style w:type="table" w:customStyle="1" w:styleId="Standardowy104">
    <w:name w:val="Standardowy104"/>
    <w:uiPriority w:val="99"/>
    <w:tblPr>
      <w:tblInd w:w="0" w:type="dxa"/>
      <w:tblCellMar>
        <w:top w:w="0" w:type="dxa"/>
        <w:left w:w="108" w:type="dxa"/>
        <w:bottom w:w="0" w:type="dxa"/>
        <w:right w:w="108" w:type="dxa"/>
      </w:tblCellMar>
    </w:tblPr>
  </w:style>
  <w:style w:type="numbering" w:customStyle="1" w:styleId="Bezlisty104">
    <w:name w:val="Bez listy104"/>
    <w:uiPriority w:val="99"/>
  </w:style>
  <w:style w:type="paragraph" w:customStyle="1" w:styleId="Normalny105">
    <w:name w:val="Normalny105"/>
    <w:qFormat/>
    <w:pPr>
      <w:spacing w:after="200"/>
    </w:pPr>
  </w:style>
  <w:style w:type="character" w:customStyle="1" w:styleId="Domylnaczcionkaakapitu105">
    <w:name w:val="Domyślna czcionka akapitu105"/>
    <w:uiPriority w:val="1"/>
  </w:style>
  <w:style w:type="table" w:customStyle="1" w:styleId="Standardowy105">
    <w:name w:val="Standardowy105"/>
    <w:uiPriority w:val="99"/>
    <w:tblPr>
      <w:tblInd w:w="0" w:type="dxa"/>
      <w:tblCellMar>
        <w:top w:w="0" w:type="dxa"/>
        <w:left w:w="108" w:type="dxa"/>
        <w:bottom w:w="0" w:type="dxa"/>
        <w:right w:w="108" w:type="dxa"/>
      </w:tblCellMar>
    </w:tblPr>
  </w:style>
  <w:style w:type="numbering" w:customStyle="1" w:styleId="Bezlisty105">
    <w:name w:val="Bez listy105"/>
    <w:uiPriority w:val="99"/>
  </w:style>
  <w:style w:type="paragraph" w:customStyle="1" w:styleId="Normalny106">
    <w:name w:val="Normalny106"/>
    <w:qFormat/>
    <w:pPr>
      <w:spacing w:after="200"/>
    </w:pPr>
  </w:style>
  <w:style w:type="character" w:customStyle="1" w:styleId="Domylnaczcionkaakapitu106">
    <w:name w:val="Domyślna czcionka akapitu106"/>
    <w:uiPriority w:val="1"/>
  </w:style>
  <w:style w:type="table" w:customStyle="1" w:styleId="Standardowy106">
    <w:name w:val="Standardowy106"/>
    <w:uiPriority w:val="99"/>
    <w:tblPr>
      <w:tblInd w:w="0" w:type="dxa"/>
      <w:tblCellMar>
        <w:top w:w="0" w:type="dxa"/>
        <w:left w:w="108" w:type="dxa"/>
        <w:bottom w:w="0" w:type="dxa"/>
        <w:right w:w="108" w:type="dxa"/>
      </w:tblCellMar>
    </w:tblPr>
  </w:style>
  <w:style w:type="numbering" w:customStyle="1" w:styleId="Bezlisty106">
    <w:name w:val="Bez listy106"/>
    <w:uiPriority w:val="99"/>
  </w:style>
  <w:style w:type="paragraph" w:customStyle="1" w:styleId="Normalny107">
    <w:name w:val="Normalny107"/>
    <w:qFormat/>
    <w:pPr>
      <w:spacing w:after="200"/>
    </w:pPr>
  </w:style>
  <w:style w:type="character" w:customStyle="1" w:styleId="Domylnaczcionkaakapitu107">
    <w:name w:val="Domyślna czcionka akapitu107"/>
    <w:uiPriority w:val="1"/>
  </w:style>
  <w:style w:type="table" w:customStyle="1" w:styleId="Standardowy107">
    <w:name w:val="Standardowy107"/>
    <w:uiPriority w:val="99"/>
    <w:tblPr>
      <w:tblInd w:w="0" w:type="dxa"/>
      <w:tblCellMar>
        <w:top w:w="0" w:type="dxa"/>
        <w:left w:w="108" w:type="dxa"/>
        <w:bottom w:w="0" w:type="dxa"/>
        <w:right w:w="108" w:type="dxa"/>
      </w:tblCellMar>
    </w:tblPr>
  </w:style>
  <w:style w:type="numbering" w:customStyle="1" w:styleId="Bezlisty107">
    <w:name w:val="Bez listy107"/>
    <w:uiPriority w:val="99"/>
  </w:style>
  <w:style w:type="paragraph" w:customStyle="1" w:styleId="Normalny108">
    <w:name w:val="Normalny108"/>
    <w:qFormat/>
    <w:pPr>
      <w:spacing w:after="200"/>
    </w:pPr>
  </w:style>
  <w:style w:type="character" w:customStyle="1" w:styleId="Domylnaczcionkaakapitu108">
    <w:name w:val="Domyślna czcionka akapitu108"/>
    <w:uiPriority w:val="1"/>
  </w:style>
  <w:style w:type="table" w:customStyle="1" w:styleId="Standardowy108">
    <w:name w:val="Standardowy108"/>
    <w:uiPriority w:val="99"/>
    <w:tblPr>
      <w:tblInd w:w="0" w:type="dxa"/>
      <w:tblCellMar>
        <w:top w:w="0" w:type="dxa"/>
        <w:left w:w="108" w:type="dxa"/>
        <w:bottom w:w="0" w:type="dxa"/>
        <w:right w:w="108" w:type="dxa"/>
      </w:tblCellMar>
    </w:tblPr>
  </w:style>
  <w:style w:type="numbering" w:customStyle="1" w:styleId="Bezlisty108">
    <w:name w:val="Bez listy108"/>
    <w:uiPriority w:val="99"/>
  </w:style>
  <w:style w:type="paragraph" w:customStyle="1" w:styleId="Normalny109">
    <w:name w:val="Normalny109"/>
    <w:qFormat/>
    <w:pPr>
      <w:spacing w:after="200"/>
    </w:pPr>
  </w:style>
  <w:style w:type="character" w:customStyle="1" w:styleId="Domylnaczcionkaakapitu109">
    <w:name w:val="Domyślna czcionka akapitu109"/>
    <w:uiPriority w:val="1"/>
  </w:style>
  <w:style w:type="table" w:customStyle="1" w:styleId="Standardowy109">
    <w:name w:val="Standardowy109"/>
    <w:uiPriority w:val="99"/>
    <w:tblPr>
      <w:tblInd w:w="0" w:type="dxa"/>
      <w:tblCellMar>
        <w:top w:w="0" w:type="dxa"/>
        <w:left w:w="108" w:type="dxa"/>
        <w:bottom w:w="0" w:type="dxa"/>
        <w:right w:w="108" w:type="dxa"/>
      </w:tblCellMar>
    </w:tblPr>
  </w:style>
  <w:style w:type="numbering" w:customStyle="1" w:styleId="Bezlisty109">
    <w:name w:val="Bez listy109"/>
    <w:uiPriority w:val="99"/>
  </w:style>
  <w:style w:type="paragraph" w:customStyle="1" w:styleId="Normalny110">
    <w:name w:val="Normalny110"/>
    <w:qFormat/>
    <w:pPr>
      <w:spacing w:after="200"/>
    </w:pPr>
  </w:style>
  <w:style w:type="character" w:customStyle="1" w:styleId="Domylnaczcionkaakapitu110">
    <w:name w:val="Domyślna czcionka akapitu110"/>
    <w:uiPriority w:val="1"/>
  </w:style>
  <w:style w:type="table" w:customStyle="1" w:styleId="Standardowy110">
    <w:name w:val="Standardowy110"/>
    <w:uiPriority w:val="99"/>
    <w:tblPr>
      <w:tblInd w:w="0" w:type="dxa"/>
      <w:tblCellMar>
        <w:top w:w="0" w:type="dxa"/>
        <w:left w:w="108" w:type="dxa"/>
        <w:bottom w:w="0" w:type="dxa"/>
        <w:right w:w="108" w:type="dxa"/>
      </w:tblCellMar>
    </w:tblPr>
  </w:style>
  <w:style w:type="numbering" w:customStyle="1" w:styleId="Bezlisty110">
    <w:name w:val="Bez listy110"/>
    <w:uiPriority w:val="99"/>
  </w:style>
  <w:style w:type="paragraph" w:customStyle="1" w:styleId="Normalny111">
    <w:name w:val="Normalny111"/>
    <w:qFormat/>
    <w:pPr>
      <w:spacing w:after="200"/>
    </w:pPr>
  </w:style>
  <w:style w:type="character" w:customStyle="1" w:styleId="Domylnaczcionkaakapitu111">
    <w:name w:val="Domyślna czcionka akapitu111"/>
    <w:uiPriority w:val="1"/>
  </w:style>
  <w:style w:type="table" w:customStyle="1" w:styleId="Standardowy111">
    <w:name w:val="Standardowy111"/>
    <w:uiPriority w:val="99"/>
    <w:tblPr>
      <w:tblInd w:w="0" w:type="dxa"/>
      <w:tblCellMar>
        <w:top w:w="0" w:type="dxa"/>
        <w:left w:w="108" w:type="dxa"/>
        <w:bottom w:w="0" w:type="dxa"/>
        <w:right w:w="108" w:type="dxa"/>
      </w:tblCellMar>
    </w:tblPr>
  </w:style>
  <w:style w:type="numbering" w:customStyle="1" w:styleId="Bezlisty111">
    <w:name w:val="Bez listy111"/>
    <w:uiPriority w:val="99"/>
  </w:style>
  <w:style w:type="paragraph" w:customStyle="1" w:styleId="Normalny112">
    <w:name w:val="Normalny112"/>
    <w:qFormat/>
    <w:pPr>
      <w:spacing w:after="200"/>
    </w:pPr>
  </w:style>
  <w:style w:type="character" w:customStyle="1" w:styleId="Domylnaczcionkaakapitu112">
    <w:name w:val="Domyślna czcionka akapitu112"/>
    <w:uiPriority w:val="1"/>
  </w:style>
  <w:style w:type="table" w:customStyle="1" w:styleId="Standardowy112">
    <w:name w:val="Standardowy112"/>
    <w:uiPriority w:val="99"/>
    <w:tblPr>
      <w:tblInd w:w="0" w:type="dxa"/>
      <w:tblCellMar>
        <w:top w:w="0" w:type="dxa"/>
        <w:left w:w="108" w:type="dxa"/>
        <w:bottom w:w="0" w:type="dxa"/>
        <w:right w:w="108" w:type="dxa"/>
      </w:tblCellMar>
    </w:tblPr>
  </w:style>
  <w:style w:type="numbering" w:customStyle="1" w:styleId="Bezlisty112">
    <w:name w:val="Bez listy112"/>
    <w:uiPriority w:val="99"/>
  </w:style>
  <w:style w:type="paragraph" w:customStyle="1" w:styleId="Normalny113">
    <w:name w:val="Normalny113"/>
    <w:qFormat/>
    <w:pPr>
      <w:spacing w:after="200"/>
    </w:pPr>
  </w:style>
  <w:style w:type="character" w:customStyle="1" w:styleId="Domylnaczcionkaakapitu113">
    <w:name w:val="Domyślna czcionka akapitu113"/>
    <w:uiPriority w:val="1"/>
  </w:style>
  <w:style w:type="table" w:customStyle="1" w:styleId="Standardowy113">
    <w:name w:val="Standardowy113"/>
    <w:uiPriority w:val="99"/>
    <w:tblPr>
      <w:tblInd w:w="0" w:type="dxa"/>
      <w:tblCellMar>
        <w:top w:w="0" w:type="dxa"/>
        <w:left w:w="108" w:type="dxa"/>
        <w:bottom w:w="0" w:type="dxa"/>
        <w:right w:w="108" w:type="dxa"/>
      </w:tblCellMar>
    </w:tblPr>
  </w:style>
  <w:style w:type="numbering" w:customStyle="1" w:styleId="Bezlisty113">
    <w:name w:val="Bez listy113"/>
    <w:uiPriority w:val="99"/>
  </w:style>
  <w:style w:type="paragraph" w:customStyle="1" w:styleId="Normalny114">
    <w:name w:val="Normalny114"/>
    <w:qFormat/>
    <w:pPr>
      <w:spacing w:after="200"/>
    </w:pPr>
  </w:style>
  <w:style w:type="character" w:customStyle="1" w:styleId="Domylnaczcionkaakapitu114">
    <w:name w:val="Domyślna czcionka akapitu114"/>
    <w:uiPriority w:val="1"/>
  </w:style>
  <w:style w:type="table" w:customStyle="1" w:styleId="Standardowy114">
    <w:name w:val="Standardowy114"/>
    <w:uiPriority w:val="99"/>
    <w:tblPr>
      <w:tblInd w:w="0" w:type="dxa"/>
      <w:tblCellMar>
        <w:top w:w="0" w:type="dxa"/>
        <w:left w:w="108" w:type="dxa"/>
        <w:bottom w:w="0" w:type="dxa"/>
        <w:right w:w="108" w:type="dxa"/>
      </w:tblCellMar>
    </w:tblPr>
  </w:style>
  <w:style w:type="numbering" w:customStyle="1" w:styleId="Bezlisty114">
    <w:name w:val="Bez listy114"/>
    <w:uiPriority w:val="99"/>
  </w:style>
  <w:style w:type="paragraph" w:customStyle="1" w:styleId="Normalny115">
    <w:name w:val="Normalny115"/>
    <w:qFormat/>
    <w:pPr>
      <w:spacing w:after="200"/>
    </w:pPr>
  </w:style>
  <w:style w:type="character" w:customStyle="1" w:styleId="Domylnaczcionkaakapitu115">
    <w:name w:val="Domyślna czcionka akapitu115"/>
    <w:uiPriority w:val="1"/>
  </w:style>
  <w:style w:type="table" w:customStyle="1" w:styleId="Standardowy115">
    <w:name w:val="Standardowy115"/>
    <w:uiPriority w:val="99"/>
    <w:tblPr>
      <w:tblInd w:w="0" w:type="dxa"/>
      <w:tblCellMar>
        <w:top w:w="0" w:type="dxa"/>
        <w:left w:w="108" w:type="dxa"/>
        <w:bottom w:w="0" w:type="dxa"/>
        <w:right w:w="108" w:type="dxa"/>
      </w:tblCellMar>
    </w:tblPr>
  </w:style>
  <w:style w:type="numbering" w:customStyle="1" w:styleId="Bezlisty115">
    <w:name w:val="Bez listy115"/>
    <w:uiPriority w:val="99"/>
  </w:style>
  <w:style w:type="paragraph" w:customStyle="1" w:styleId="Normalny116">
    <w:name w:val="Normalny116"/>
    <w:qFormat/>
    <w:pPr>
      <w:spacing w:after="200"/>
    </w:pPr>
  </w:style>
  <w:style w:type="character" w:customStyle="1" w:styleId="Domylnaczcionkaakapitu116">
    <w:name w:val="Domyślna czcionka akapitu116"/>
    <w:uiPriority w:val="1"/>
  </w:style>
  <w:style w:type="table" w:customStyle="1" w:styleId="Standardowy116">
    <w:name w:val="Standardowy116"/>
    <w:uiPriority w:val="99"/>
    <w:tblPr>
      <w:tblInd w:w="0" w:type="dxa"/>
      <w:tblCellMar>
        <w:top w:w="0" w:type="dxa"/>
        <w:left w:w="108" w:type="dxa"/>
        <w:bottom w:w="0" w:type="dxa"/>
        <w:right w:w="108" w:type="dxa"/>
      </w:tblCellMar>
    </w:tblPr>
  </w:style>
  <w:style w:type="numbering" w:customStyle="1" w:styleId="Bezlisty116">
    <w:name w:val="Bez listy116"/>
    <w:uiPriority w:val="99"/>
  </w:style>
  <w:style w:type="paragraph" w:customStyle="1" w:styleId="Normalny117">
    <w:name w:val="Normalny117"/>
    <w:qFormat/>
    <w:pPr>
      <w:spacing w:after="200"/>
    </w:pPr>
  </w:style>
  <w:style w:type="character" w:customStyle="1" w:styleId="Domylnaczcionkaakapitu117">
    <w:name w:val="Domyślna czcionka akapitu117"/>
    <w:uiPriority w:val="1"/>
  </w:style>
  <w:style w:type="table" w:customStyle="1" w:styleId="Standardowy117">
    <w:name w:val="Standardowy117"/>
    <w:uiPriority w:val="99"/>
    <w:tblPr>
      <w:tblInd w:w="0" w:type="dxa"/>
      <w:tblCellMar>
        <w:top w:w="0" w:type="dxa"/>
        <w:left w:w="108" w:type="dxa"/>
        <w:bottom w:w="0" w:type="dxa"/>
        <w:right w:w="108" w:type="dxa"/>
      </w:tblCellMar>
    </w:tblPr>
  </w:style>
  <w:style w:type="numbering" w:customStyle="1" w:styleId="Bezlisty117">
    <w:name w:val="Bez listy117"/>
    <w:uiPriority w:val="99"/>
  </w:style>
  <w:style w:type="paragraph" w:customStyle="1" w:styleId="Normalny118">
    <w:name w:val="Normalny118"/>
    <w:qFormat/>
    <w:pPr>
      <w:spacing w:after="200"/>
    </w:pPr>
  </w:style>
  <w:style w:type="character" w:customStyle="1" w:styleId="Domylnaczcionkaakapitu118">
    <w:name w:val="Domyślna czcionka akapitu118"/>
    <w:uiPriority w:val="1"/>
  </w:style>
  <w:style w:type="table" w:customStyle="1" w:styleId="Standardowy118">
    <w:name w:val="Standardowy118"/>
    <w:uiPriority w:val="99"/>
    <w:tblPr>
      <w:tblInd w:w="0" w:type="dxa"/>
      <w:tblCellMar>
        <w:top w:w="0" w:type="dxa"/>
        <w:left w:w="108" w:type="dxa"/>
        <w:bottom w:w="0" w:type="dxa"/>
        <w:right w:w="108" w:type="dxa"/>
      </w:tblCellMar>
    </w:tblPr>
  </w:style>
  <w:style w:type="numbering" w:customStyle="1" w:styleId="Bezlisty118">
    <w:name w:val="Bez listy118"/>
    <w:uiPriority w:val="99"/>
  </w:style>
  <w:style w:type="paragraph" w:customStyle="1" w:styleId="Normalny119">
    <w:name w:val="Normalny119"/>
    <w:qFormat/>
    <w:pPr>
      <w:spacing w:after="200"/>
    </w:pPr>
  </w:style>
  <w:style w:type="character" w:customStyle="1" w:styleId="Domylnaczcionkaakapitu119">
    <w:name w:val="Domyślna czcionka akapitu119"/>
    <w:uiPriority w:val="1"/>
  </w:style>
  <w:style w:type="table" w:customStyle="1" w:styleId="Standardowy119">
    <w:name w:val="Standardowy119"/>
    <w:uiPriority w:val="99"/>
    <w:tblPr>
      <w:tblInd w:w="0" w:type="dxa"/>
      <w:tblCellMar>
        <w:top w:w="0" w:type="dxa"/>
        <w:left w:w="108" w:type="dxa"/>
        <w:bottom w:w="0" w:type="dxa"/>
        <w:right w:w="108" w:type="dxa"/>
      </w:tblCellMar>
    </w:tblPr>
  </w:style>
  <w:style w:type="numbering" w:customStyle="1" w:styleId="Bezlisty119">
    <w:name w:val="Bez listy119"/>
    <w:uiPriority w:val="99"/>
  </w:style>
  <w:style w:type="paragraph" w:customStyle="1" w:styleId="Normalny120">
    <w:name w:val="Normalny120"/>
    <w:qFormat/>
    <w:pPr>
      <w:spacing w:after="200"/>
    </w:pPr>
  </w:style>
  <w:style w:type="character" w:customStyle="1" w:styleId="Domylnaczcionkaakapitu120">
    <w:name w:val="Domyślna czcionka akapitu120"/>
    <w:uiPriority w:val="1"/>
  </w:style>
  <w:style w:type="table" w:customStyle="1" w:styleId="Standardowy120">
    <w:name w:val="Standardowy120"/>
    <w:uiPriority w:val="99"/>
    <w:tblPr>
      <w:tblInd w:w="0" w:type="dxa"/>
      <w:tblCellMar>
        <w:top w:w="0" w:type="dxa"/>
        <w:left w:w="108" w:type="dxa"/>
        <w:bottom w:w="0" w:type="dxa"/>
        <w:right w:w="108" w:type="dxa"/>
      </w:tblCellMar>
    </w:tblPr>
  </w:style>
  <w:style w:type="numbering" w:customStyle="1" w:styleId="Bezlisty120">
    <w:name w:val="Bez listy120"/>
    <w:uiPriority w:val="99"/>
  </w:style>
  <w:style w:type="paragraph" w:customStyle="1" w:styleId="Normalny121">
    <w:name w:val="Normalny121"/>
    <w:qFormat/>
    <w:pPr>
      <w:spacing w:after="200"/>
    </w:pPr>
  </w:style>
  <w:style w:type="character" w:customStyle="1" w:styleId="Domylnaczcionkaakapitu121">
    <w:name w:val="Domyślna czcionka akapitu121"/>
    <w:uiPriority w:val="1"/>
  </w:style>
  <w:style w:type="table" w:customStyle="1" w:styleId="Standardowy121">
    <w:name w:val="Standardowy121"/>
    <w:uiPriority w:val="99"/>
    <w:tblPr>
      <w:tblInd w:w="0" w:type="dxa"/>
      <w:tblCellMar>
        <w:top w:w="0" w:type="dxa"/>
        <w:left w:w="108" w:type="dxa"/>
        <w:bottom w:w="0" w:type="dxa"/>
        <w:right w:w="108" w:type="dxa"/>
      </w:tblCellMar>
    </w:tblPr>
  </w:style>
  <w:style w:type="numbering" w:customStyle="1" w:styleId="Bezlisty121">
    <w:name w:val="Bez listy121"/>
    <w:uiPriority w:val="99"/>
  </w:style>
  <w:style w:type="paragraph" w:customStyle="1" w:styleId="Normalny122">
    <w:name w:val="Normalny122"/>
    <w:qFormat/>
    <w:pPr>
      <w:spacing w:after="200"/>
    </w:pPr>
  </w:style>
  <w:style w:type="character" w:customStyle="1" w:styleId="Domylnaczcionkaakapitu122">
    <w:name w:val="Domyślna czcionka akapitu122"/>
    <w:uiPriority w:val="1"/>
  </w:style>
  <w:style w:type="table" w:customStyle="1" w:styleId="Standardowy122">
    <w:name w:val="Standardowy122"/>
    <w:uiPriority w:val="99"/>
    <w:tblPr>
      <w:tblInd w:w="0" w:type="dxa"/>
      <w:tblCellMar>
        <w:top w:w="0" w:type="dxa"/>
        <w:left w:w="108" w:type="dxa"/>
        <w:bottom w:w="0" w:type="dxa"/>
        <w:right w:w="108" w:type="dxa"/>
      </w:tblCellMar>
    </w:tblPr>
  </w:style>
  <w:style w:type="numbering" w:customStyle="1" w:styleId="Bezlisty122">
    <w:name w:val="Bez listy122"/>
    <w:uiPriority w:val="99"/>
  </w:style>
  <w:style w:type="paragraph" w:customStyle="1" w:styleId="Normalny123">
    <w:name w:val="Normalny123"/>
    <w:qFormat/>
    <w:pPr>
      <w:spacing w:after="200"/>
    </w:pPr>
  </w:style>
  <w:style w:type="character" w:customStyle="1" w:styleId="Domylnaczcionkaakapitu123">
    <w:name w:val="Domyślna czcionka akapitu123"/>
    <w:uiPriority w:val="1"/>
  </w:style>
  <w:style w:type="table" w:customStyle="1" w:styleId="Standardowy123">
    <w:name w:val="Standardowy123"/>
    <w:uiPriority w:val="99"/>
    <w:tblPr>
      <w:tblInd w:w="0" w:type="dxa"/>
      <w:tblCellMar>
        <w:top w:w="0" w:type="dxa"/>
        <w:left w:w="108" w:type="dxa"/>
        <w:bottom w:w="0" w:type="dxa"/>
        <w:right w:w="108" w:type="dxa"/>
      </w:tblCellMar>
    </w:tblPr>
  </w:style>
  <w:style w:type="numbering" w:customStyle="1" w:styleId="Bezlisty123">
    <w:name w:val="Bez listy123"/>
    <w:uiPriority w:val="99"/>
  </w:style>
  <w:style w:type="paragraph" w:customStyle="1" w:styleId="Normalny124">
    <w:name w:val="Normalny124"/>
    <w:qFormat/>
    <w:pPr>
      <w:spacing w:after="200"/>
    </w:pPr>
  </w:style>
  <w:style w:type="character" w:customStyle="1" w:styleId="Domylnaczcionkaakapitu124">
    <w:name w:val="Domyślna czcionka akapitu124"/>
    <w:uiPriority w:val="1"/>
  </w:style>
  <w:style w:type="table" w:customStyle="1" w:styleId="Standardowy124">
    <w:name w:val="Standardowy124"/>
    <w:uiPriority w:val="99"/>
    <w:tblPr>
      <w:tblInd w:w="0" w:type="dxa"/>
      <w:tblCellMar>
        <w:top w:w="0" w:type="dxa"/>
        <w:left w:w="108" w:type="dxa"/>
        <w:bottom w:w="0" w:type="dxa"/>
        <w:right w:w="108" w:type="dxa"/>
      </w:tblCellMar>
    </w:tblPr>
  </w:style>
  <w:style w:type="numbering" w:customStyle="1" w:styleId="Bezlisty124">
    <w:name w:val="Bez listy124"/>
    <w:uiPriority w:val="99"/>
  </w:style>
  <w:style w:type="paragraph" w:customStyle="1" w:styleId="Normalny125">
    <w:name w:val="Normalny125"/>
    <w:qFormat/>
    <w:pPr>
      <w:spacing w:after="200"/>
    </w:pPr>
  </w:style>
  <w:style w:type="character" w:customStyle="1" w:styleId="Domylnaczcionkaakapitu125">
    <w:name w:val="Domyślna czcionka akapitu125"/>
    <w:uiPriority w:val="1"/>
  </w:style>
  <w:style w:type="table" w:customStyle="1" w:styleId="Standardowy125">
    <w:name w:val="Standardowy125"/>
    <w:uiPriority w:val="99"/>
    <w:tblPr>
      <w:tblInd w:w="0" w:type="dxa"/>
      <w:tblCellMar>
        <w:top w:w="0" w:type="dxa"/>
        <w:left w:w="108" w:type="dxa"/>
        <w:bottom w:w="0" w:type="dxa"/>
        <w:right w:w="108" w:type="dxa"/>
      </w:tblCellMar>
    </w:tblPr>
  </w:style>
  <w:style w:type="numbering" w:customStyle="1" w:styleId="Bezlisty125">
    <w:name w:val="Bez listy125"/>
    <w:uiPriority w:val="99"/>
  </w:style>
  <w:style w:type="paragraph" w:customStyle="1" w:styleId="Normalny126">
    <w:name w:val="Normalny126"/>
    <w:qFormat/>
    <w:pPr>
      <w:spacing w:after="200"/>
    </w:pPr>
  </w:style>
  <w:style w:type="character" w:customStyle="1" w:styleId="Domylnaczcionkaakapitu126">
    <w:name w:val="Domyślna czcionka akapitu126"/>
    <w:uiPriority w:val="1"/>
  </w:style>
  <w:style w:type="table" w:customStyle="1" w:styleId="Standardowy126">
    <w:name w:val="Standardowy126"/>
    <w:uiPriority w:val="99"/>
    <w:tblPr>
      <w:tblInd w:w="0" w:type="dxa"/>
      <w:tblCellMar>
        <w:top w:w="0" w:type="dxa"/>
        <w:left w:w="108" w:type="dxa"/>
        <w:bottom w:w="0" w:type="dxa"/>
        <w:right w:w="108" w:type="dxa"/>
      </w:tblCellMar>
    </w:tblPr>
  </w:style>
  <w:style w:type="numbering" w:customStyle="1" w:styleId="Bezlisty126">
    <w:name w:val="Bez listy126"/>
    <w:uiPriority w:val="99"/>
  </w:style>
  <w:style w:type="paragraph" w:customStyle="1" w:styleId="Normalny127">
    <w:name w:val="Normalny127"/>
    <w:qFormat/>
    <w:pPr>
      <w:spacing w:after="200"/>
    </w:pPr>
  </w:style>
  <w:style w:type="character" w:customStyle="1" w:styleId="Domylnaczcionkaakapitu127">
    <w:name w:val="Domyślna czcionka akapitu127"/>
    <w:uiPriority w:val="1"/>
  </w:style>
  <w:style w:type="table" w:customStyle="1" w:styleId="Standardowy127">
    <w:name w:val="Standardowy127"/>
    <w:uiPriority w:val="99"/>
    <w:tblPr>
      <w:tblInd w:w="0" w:type="dxa"/>
      <w:tblCellMar>
        <w:top w:w="0" w:type="dxa"/>
        <w:left w:w="108" w:type="dxa"/>
        <w:bottom w:w="0" w:type="dxa"/>
        <w:right w:w="108" w:type="dxa"/>
      </w:tblCellMar>
    </w:tblPr>
  </w:style>
  <w:style w:type="numbering" w:customStyle="1" w:styleId="Bezlisty127">
    <w:name w:val="Bez listy127"/>
    <w:uiPriority w:val="99"/>
  </w:style>
  <w:style w:type="paragraph" w:customStyle="1" w:styleId="Normalny128">
    <w:name w:val="Normalny128"/>
    <w:qFormat/>
    <w:pPr>
      <w:spacing w:after="200"/>
    </w:pPr>
  </w:style>
  <w:style w:type="character" w:customStyle="1" w:styleId="Domylnaczcionkaakapitu128">
    <w:name w:val="Domyślna czcionka akapitu128"/>
    <w:uiPriority w:val="1"/>
  </w:style>
  <w:style w:type="table" w:customStyle="1" w:styleId="Standardowy128">
    <w:name w:val="Standardowy128"/>
    <w:uiPriority w:val="99"/>
    <w:tblPr>
      <w:tblInd w:w="0" w:type="dxa"/>
      <w:tblCellMar>
        <w:top w:w="0" w:type="dxa"/>
        <w:left w:w="108" w:type="dxa"/>
        <w:bottom w:w="0" w:type="dxa"/>
        <w:right w:w="108" w:type="dxa"/>
      </w:tblCellMar>
    </w:tblPr>
  </w:style>
  <w:style w:type="numbering" w:customStyle="1" w:styleId="Bezlisty128">
    <w:name w:val="Bez listy128"/>
    <w:uiPriority w:val="99"/>
  </w:style>
  <w:style w:type="paragraph" w:customStyle="1" w:styleId="Normalny129">
    <w:name w:val="Normalny129"/>
    <w:qFormat/>
    <w:pPr>
      <w:spacing w:after="200"/>
    </w:pPr>
  </w:style>
  <w:style w:type="character" w:customStyle="1" w:styleId="Domylnaczcionkaakapitu129">
    <w:name w:val="Domyślna czcionka akapitu129"/>
    <w:uiPriority w:val="1"/>
  </w:style>
  <w:style w:type="table" w:customStyle="1" w:styleId="Standardowy129">
    <w:name w:val="Standardowy129"/>
    <w:uiPriority w:val="99"/>
    <w:tblPr>
      <w:tblInd w:w="0" w:type="dxa"/>
      <w:tblCellMar>
        <w:top w:w="0" w:type="dxa"/>
        <w:left w:w="108" w:type="dxa"/>
        <w:bottom w:w="0" w:type="dxa"/>
        <w:right w:w="108" w:type="dxa"/>
      </w:tblCellMar>
    </w:tblPr>
  </w:style>
  <w:style w:type="numbering" w:customStyle="1" w:styleId="Bezlisty129">
    <w:name w:val="Bez listy129"/>
    <w:uiPriority w:val="99"/>
  </w:style>
  <w:style w:type="paragraph" w:customStyle="1" w:styleId="Normalny130">
    <w:name w:val="Normalny130"/>
    <w:qFormat/>
    <w:pPr>
      <w:spacing w:after="200"/>
    </w:pPr>
  </w:style>
  <w:style w:type="character" w:customStyle="1" w:styleId="Domylnaczcionkaakapitu130">
    <w:name w:val="Domyślna czcionka akapitu130"/>
    <w:uiPriority w:val="1"/>
  </w:style>
  <w:style w:type="table" w:customStyle="1" w:styleId="Standardowy130">
    <w:name w:val="Standardowy130"/>
    <w:uiPriority w:val="99"/>
    <w:tblPr>
      <w:tblInd w:w="0" w:type="dxa"/>
      <w:tblCellMar>
        <w:top w:w="0" w:type="dxa"/>
        <w:left w:w="108" w:type="dxa"/>
        <w:bottom w:w="0" w:type="dxa"/>
        <w:right w:w="108" w:type="dxa"/>
      </w:tblCellMar>
    </w:tblPr>
  </w:style>
  <w:style w:type="numbering" w:customStyle="1" w:styleId="Bezlisty130">
    <w:name w:val="Bez listy130"/>
    <w:uiPriority w:val="99"/>
  </w:style>
  <w:style w:type="paragraph" w:customStyle="1" w:styleId="Normalny131">
    <w:name w:val="Normalny131"/>
    <w:qFormat/>
    <w:pPr>
      <w:spacing w:after="200"/>
    </w:pPr>
  </w:style>
  <w:style w:type="character" w:customStyle="1" w:styleId="Domylnaczcionkaakapitu131">
    <w:name w:val="Domyślna czcionka akapitu131"/>
    <w:uiPriority w:val="1"/>
  </w:style>
  <w:style w:type="table" w:customStyle="1" w:styleId="Standardowy131">
    <w:name w:val="Standardowy131"/>
    <w:uiPriority w:val="99"/>
    <w:tblPr>
      <w:tblInd w:w="0" w:type="dxa"/>
      <w:tblCellMar>
        <w:top w:w="0" w:type="dxa"/>
        <w:left w:w="108" w:type="dxa"/>
        <w:bottom w:w="0" w:type="dxa"/>
        <w:right w:w="108" w:type="dxa"/>
      </w:tblCellMar>
    </w:tblPr>
  </w:style>
  <w:style w:type="numbering" w:customStyle="1" w:styleId="Bezlisty131">
    <w:name w:val="Bez listy131"/>
    <w:uiPriority w:val="99"/>
  </w:style>
  <w:style w:type="paragraph" w:customStyle="1" w:styleId="Normalny132">
    <w:name w:val="Normalny132"/>
    <w:qFormat/>
    <w:pPr>
      <w:spacing w:after="200"/>
    </w:pPr>
  </w:style>
  <w:style w:type="character" w:customStyle="1" w:styleId="Domylnaczcionkaakapitu132">
    <w:name w:val="Domyślna czcionka akapitu132"/>
    <w:uiPriority w:val="1"/>
  </w:style>
  <w:style w:type="table" w:customStyle="1" w:styleId="Standardowy132">
    <w:name w:val="Standardowy132"/>
    <w:uiPriority w:val="99"/>
    <w:tblPr>
      <w:tblInd w:w="0" w:type="dxa"/>
      <w:tblCellMar>
        <w:top w:w="0" w:type="dxa"/>
        <w:left w:w="108" w:type="dxa"/>
        <w:bottom w:w="0" w:type="dxa"/>
        <w:right w:w="108" w:type="dxa"/>
      </w:tblCellMar>
    </w:tblPr>
  </w:style>
  <w:style w:type="numbering" w:customStyle="1" w:styleId="Bezlisty132">
    <w:name w:val="Bez listy132"/>
    <w:uiPriority w:val="99"/>
  </w:style>
  <w:style w:type="paragraph" w:customStyle="1" w:styleId="Normalny133">
    <w:name w:val="Normalny133"/>
    <w:qFormat/>
    <w:pPr>
      <w:spacing w:after="200"/>
    </w:pPr>
  </w:style>
  <w:style w:type="character" w:customStyle="1" w:styleId="Domylnaczcionkaakapitu133">
    <w:name w:val="Domyślna czcionka akapitu133"/>
    <w:uiPriority w:val="1"/>
  </w:style>
  <w:style w:type="table" w:customStyle="1" w:styleId="Standardowy133">
    <w:name w:val="Standardowy133"/>
    <w:uiPriority w:val="99"/>
    <w:tblPr>
      <w:tblInd w:w="0" w:type="dxa"/>
      <w:tblCellMar>
        <w:top w:w="0" w:type="dxa"/>
        <w:left w:w="108" w:type="dxa"/>
        <w:bottom w:w="0" w:type="dxa"/>
        <w:right w:w="108" w:type="dxa"/>
      </w:tblCellMar>
    </w:tblPr>
  </w:style>
  <w:style w:type="numbering" w:customStyle="1" w:styleId="Bezlisty133">
    <w:name w:val="Bez listy133"/>
    <w:uiPriority w:val="99"/>
  </w:style>
  <w:style w:type="paragraph" w:customStyle="1" w:styleId="Normalny134">
    <w:name w:val="Normalny134"/>
    <w:qFormat/>
    <w:pPr>
      <w:spacing w:after="200"/>
    </w:pPr>
  </w:style>
  <w:style w:type="character" w:customStyle="1" w:styleId="Domylnaczcionkaakapitu134">
    <w:name w:val="Domyślna czcionka akapitu134"/>
    <w:uiPriority w:val="1"/>
  </w:style>
  <w:style w:type="table" w:customStyle="1" w:styleId="Standardowy134">
    <w:name w:val="Standardowy134"/>
    <w:uiPriority w:val="99"/>
    <w:tblPr>
      <w:tblInd w:w="0" w:type="dxa"/>
      <w:tblCellMar>
        <w:top w:w="0" w:type="dxa"/>
        <w:left w:w="108" w:type="dxa"/>
        <w:bottom w:w="0" w:type="dxa"/>
        <w:right w:w="108" w:type="dxa"/>
      </w:tblCellMar>
    </w:tblPr>
  </w:style>
  <w:style w:type="numbering" w:customStyle="1" w:styleId="Bezlisty134">
    <w:name w:val="Bez listy134"/>
    <w:uiPriority w:val="99"/>
  </w:style>
  <w:style w:type="paragraph" w:customStyle="1" w:styleId="Normalny135">
    <w:name w:val="Normalny135"/>
    <w:qFormat/>
    <w:pPr>
      <w:spacing w:after="200"/>
    </w:pPr>
  </w:style>
  <w:style w:type="character" w:customStyle="1" w:styleId="Domylnaczcionkaakapitu135">
    <w:name w:val="Domyślna czcionka akapitu135"/>
    <w:uiPriority w:val="1"/>
  </w:style>
  <w:style w:type="table" w:customStyle="1" w:styleId="Standardowy135">
    <w:name w:val="Standardowy135"/>
    <w:uiPriority w:val="99"/>
    <w:tblPr>
      <w:tblInd w:w="0" w:type="dxa"/>
      <w:tblCellMar>
        <w:top w:w="0" w:type="dxa"/>
        <w:left w:w="108" w:type="dxa"/>
        <w:bottom w:w="0" w:type="dxa"/>
        <w:right w:w="108" w:type="dxa"/>
      </w:tblCellMar>
    </w:tblPr>
  </w:style>
  <w:style w:type="numbering" w:customStyle="1" w:styleId="Bezlisty135">
    <w:name w:val="Bez listy135"/>
    <w:uiPriority w:val="99"/>
  </w:style>
  <w:style w:type="paragraph" w:customStyle="1" w:styleId="Normalny136">
    <w:name w:val="Normalny136"/>
    <w:qFormat/>
    <w:pPr>
      <w:spacing w:after="200"/>
    </w:pPr>
  </w:style>
  <w:style w:type="character" w:customStyle="1" w:styleId="Domylnaczcionkaakapitu136">
    <w:name w:val="Domyślna czcionka akapitu136"/>
    <w:uiPriority w:val="1"/>
  </w:style>
  <w:style w:type="table" w:customStyle="1" w:styleId="Standardowy136">
    <w:name w:val="Standardowy136"/>
    <w:uiPriority w:val="99"/>
    <w:tblPr>
      <w:tblInd w:w="0" w:type="dxa"/>
      <w:tblCellMar>
        <w:top w:w="0" w:type="dxa"/>
        <w:left w:w="108" w:type="dxa"/>
        <w:bottom w:w="0" w:type="dxa"/>
        <w:right w:w="108" w:type="dxa"/>
      </w:tblCellMar>
    </w:tblPr>
  </w:style>
  <w:style w:type="numbering" w:customStyle="1" w:styleId="Bezlisty136">
    <w:name w:val="Bez listy136"/>
    <w:uiPriority w:val="99"/>
  </w:style>
  <w:style w:type="paragraph" w:customStyle="1" w:styleId="Normalny137">
    <w:name w:val="Normalny137"/>
    <w:qFormat/>
    <w:pPr>
      <w:spacing w:after="200"/>
    </w:pPr>
  </w:style>
  <w:style w:type="character" w:customStyle="1" w:styleId="Domylnaczcionkaakapitu137">
    <w:name w:val="Domyślna czcionka akapitu137"/>
    <w:uiPriority w:val="1"/>
  </w:style>
  <w:style w:type="table" w:customStyle="1" w:styleId="Standardowy137">
    <w:name w:val="Standardowy137"/>
    <w:uiPriority w:val="99"/>
    <w:tblPr>
      <w:tblInd w:w="0" w:type="dxa"/>
      <w:tblCellMar>
        <w:top w:w="0" w:type="dxa"/>
        <w:left w:w="108" w:type="dxa"/>
        <w:bottom w:w="0" w:type="dxa"/>
        <w:right w:w="108" w:type="dxa"/>
      </w:tblCellMar>
    </w:tblPr>
  </w:style>
  <w:style w:type="numbering" w:customStyle="1" w:styleId="Bezlisty137">
    <w:name w:val="Bez listy137"/>
    <w:uiPriority w:val="99"/>
  </w:style>
  <w:style w:type="paragraph" w:customStyle="1" w:styleId="Normalny138">
    <w:name w:val="Normalny138"/>
    <w:qFormat/>
    <w:pPr>
      <w:spacing w:after="200"/>
    </w:pPr>
  </w:style>
  <w:style w:type="character" w:customStyle="1" w:styleId="Domylnaczcionkaakapitu138">
    <w:name w:val="Domyślna czcionka akapitu138"/>
    <w:uiPriority w:val="1"/>
  </w:style>
  <w:style w:type="table" w:customStyle="1" w:styleId="Standardowy138">
    <w:name w:val="Standardowy138"/>
    <w:uiPriority w:val="99"/>
    <w:tblPr>
      <w:tblInd w:w="0" w:type="dxa"/>
      <w:tblCellMar>
        <w:top w:w="0" w:type="dxa"/>
        <w:left w:w="108" w:type="dxa"/>
        <w:bottom w:w="0" w:type="dxa"/>
        <w:right w:w="108" w:type="dxa"/>
      </w:tblCellMar>
    </w:tblPr>
  </w:style>
  <w:style w:type="numbering" w:customStyle="1" w:styleId="Bezlisty138">
    <w:name w:val="Bez listy138"/>
    <w:uiPriority w:val="99"/>
  </w:style>
  <w:style w:type="paragraph" w:customStyle="1" w:styleId="Normalny139">
    <w:name w:val="Normalny139"/>
    <w:qFormat/>
    <w:pPr>
      <w:spacing w:after="200"/>
    </w:pPr>
  </w:style>
  <w:style w:type="character" w:customStyle="1" w:styleId="Domylnaczcionkaakapitu139">
    <w:name w:val="Domyślna czcionka akapitu139"/>
    <w:uiPriority w:val="1"/>
  </w:style>
  <w:style w:type="table" w:customStyle="1" w:styleId="Standardowy139">
    <w:name w:val="Standardowy139"/>
    <w:uiPriority w:val="99"/>
    <w:tblPr>
      <w:tblInd w:w="0" w:type="dxa"/>
      <w:tblCellMar>
        <w:top w:w="0" w:type="dxa"/>
        <w:left w:w="108" w:type="dxa"/>
        <w:bottom w:w="0" w:type="dxa"/>
        <w:right w:w="108" w:type="dxa"/>
      </w:tblCellMar>
    </w:tblPr>
  </w:style>
  <w:style w:type="numbering" w:customStyle="1" w:styleId="Bezlisty139">
    <w:name w:val="Bez listy139"/>
    <w:uiPriority w:val="99"/>
  </w:style>
  <w:style w:type="paragraph" w:customStyle="1" w:styleId="Normalny140">
    <w:name w:val="Normalny140"/>
    <w:qFormat/>
    <w:pPr>
      <w:spacing w:after="200"/>
    </w:pPr>
  </w:style>
  <w:style w:type="character" w:customStyle="1" w:styleId="Domylnaczcionkaakapitu140">
    <w:name w:val="Domyślna czcionka akapitu140"/>
    <w:uiPriority w:val="1"/>
  </w:style>
  <w:style w:type="table" w:customStyle="1" w:styleId="Standardowy140">
    <w:name w:val="Standardowy140"/>
    <w:uiPriority w:val="99"/>
    <w:tblPr>
      <w:tblInd w:w="0" w:type="dxa"/>
      <w:tblCellMar>
        <w:top w:w="0" w:type="dxa"/>
        <w:left w:w="108" w:type="dxa"/>
        <w:bottom w:w="0" w:type="dxa"/>
        <w:right w:w="108" w:type="dxa"/>
      </w:tblCellMar>
    </w:tblPr>
  </w:style>
  <w:style w:type="numbering" w:customStyle="1" w:styleId="Bezlisty140">
    <w:name w:val="Bez listy140"/>
    <w:uiPriority w:val="99"/>
  </w:style>
  <w:style w:type="paragraph" w:customStyle="1" w:styleId="Normalny141">
    <w:name w:val="Normalny141"/>
    <w:qFormat/>
    <w:pPr>
      <w:spacing w:after="200"/>
    </w:pPr>
  </w:style>
  <w:style w:type="character" w:customStyle="1" w:styleId="Domylnaczcionkaakapitu141">
    <w:name w:val="Domyślna czcionka akapitu141"/>
    <w:uiPriority w:val="1"/>
  </w:style>
  <w:style w:type="table" w:customStyle="1" w:styleId="Standardowy141">
    <w:name w:val="Standardowy141"/>
    <w:uiPriority w:val="99"/>
    <w:tblPr>
      <w:tblInd w:w="0" w:type="dxa"/>
      <w:tblCellMar>
        <w:top w:w="0" w:type="dxa"/>
        <w:left w:w="108" w:type="dxa"/>
        <w:bottom w:w="0" w:type="dxa"/>
        <w:right w:w="108" w:type="dxa"/>
      </w:tblCellMar>
    </w:tblPr>
  </w:style>
  <w:style w:type="numbering" w:customStyle="1" w:styleId="Bezlisty141">
    <w:name w:val="Bez listy141"/>
    <w:uiPriority w:val="99"/>
  </w:style>
  <w:style w:type="paragraph" w:customStyle="1" w:styleId="Normalny142">
    <w:name w:val="Normalny142"/>
    <w:qFormat/>
    <w:pPr>
      <w:spacing w:after="200"/>
    </w:pPr>
  </w:style>
  <w:style w:type="character" w:customStyle="1" w:styleId="Domylnaczcionkaakapitu142">
    <w:name w:val="Domyślna czcionka akapitu142"/>
    <w:uiPriority w:val="1"/>
  </w:style>
  <w:style w:type="table" w:customStyle="1" w:styleId="Standardowy142">
    <w:name w:val="Standardowy142"/>
    <w:uiPriority w:val="99"/>
    <w:tblPr>
      <w:tblInd w:w="0" w:type="dxa"/>
      <w:tblCellMar>
        <w:top w:w="0" w:type="dxa"/>
        <w:left w:w="108" w:type="dxa"/>
        <w:bottom w:w="0" w:type="dxa"/>
        <w:right w:w="108" w:type="dxa"/>
      </w:tblCellMar>
    </w:tblPr>
  </w:style>
  <w:style w:type="numbering" w:customStyle="1" w:styleId="Bezlisty142">
    <w:name w:val="Bez listy142"/>
    <w:uiPriority w:val="99"/>
  </w:style>
  <w:style w:type="paragraph" w:customStyle="1" w:styleId="Normalny143">
    <w:name w:val="Normalny143"/>
    <w:qFormat/>
    <w:pPr>
      <w:spacing w:after="200"/>
    </w:pPr>
  </w:style>
  <w:style w:type="character" w:customStyle="1" w:styleId="Domylnaczcionkaakapitu143">
    <w:name w:val="Domyślna czcionka akapitu143"/>
    <w:uiPriority w:val="1"/>
  </w:style>
  <w:style w:type="table" w:customStyle="1" w:styleId="Standardowy143">
    <w:name w:val="Standardowy143"/>
    <w:uiPriority w:val="99"/>
    <w:tblPr>
      <w:tblInd w:w="0" w:type="dxa"/>
      <w:tblCellMar>
        <w:top w:w="0" w:type="dxa"/>
        <w:left w:w="108" w:type="dxa"/>
        <w:bottom w:w="0" w:type="dxa"/>
        <w:right w:w="108" w:type="dxa"/>
      </w:tblCellMar>
    </w:tblPr>
  </w:style>
  <w:style w:type="numbering" w:customStyle="1" w:styleId="Bezlisty143">
    <w:name w:val="Bez listy143"/>
    <w:uiPriority w:val="99"/>
  </w:style>
  <w:style w:type="paragraph" w:customStyle="1" w:styleId="Normalny144">
    <w:name w:val="Normalny144"/>
    <w:qFormat/>
    <w:pPr>
      <w:spacing w:after="200"/>
    </w:pPr>
  </w:style>
  <w:style w:type="character" w:customStyle="1" w:styleId="Domylnaczcionkaakapitu144">
    <w:name w:val="Domyślna czcionka akapitu144"/>
    <w:uiPriority w:val="1"/>
  </w:style>
  <w:style w:type="table" w:customStyle="1" w:styleId="Standardowy144">
    <w:name w:val="Standardowy144"/>
    <w:uiPriority w:val="99"/>
    <w:tblPr>
      <w:tblInd w:w="0" w:type="dxa"/>
      <w:tblCellMar>
        <w:top w:w="0" w:type="dxa"/>
        <w:left w:w="108" w:type="dxa"/>
        <w:bottom w:w="0" w:type="dxa"/>
        <w:right w:w="108" w:type="dxa"/>
      </w:tblCellMar>
    </w:tblPr>
  </w:style>
  <w:style w:type="numbering" w:customStyle="1" w:styleId="Bezlisty144">
    <w:name w:val="Bez listy144"/>
    <w:uiPriority w:val="99"/>
  </w:style>
  <w:style w:type="paragraph" w:customStyle="1" w:styleId="Normalny145">
    <w:name w:val="Normalny145"/>
    <w:qFormat/>
    <w:pPr>
      <w:spacing w:after="200"/>
    </w:pPr>
  </w:style>
  <w:style w:type="character" w:customStyle="1" w:styleId="Domylnaczcionkaakapitu145">
    <w:name w:val="Domyślna czcionka akapitu145"/>
    <w:uiPriority w:val="1"/>
  </w:style>
  <w:style w:type="table" w:customStyle="1" w:styleId="Standardowy145">
    <w:name w:val="Standardowy145"/>
    <w:uiPriority w:val="99"/>
    <w:tblPr>
      <w:tblInd w:w="0" w:type="dxa"/>
      <w:tblCellMar>
        <w:top w:w="0" w:type="dxa"/>
        <w:left w:w="108" w:type="dxa"/>
        <w:bottom w:w="0" w:type="dxa"/>
        <w:right w:w="108" w:type="dxa"/>
      </w:tblCellMar>
    </w:tblPr>
  </w:style>
  <w:style w:type="numbering" w:customStyle="1" w:styleId="Bezlisty145">
    <w:name w:val="Bez listy145"/>
    <w:uiPriority w:val="99"/>
  </w:style>
  <w:style w:type="paragraph" w:customStyle="1" w:styleId="Normalny146">
    <w:name w:val="Normalny146"/>
    <w:qFormat/>
    <w:pPr>
      <w:spacing w:after="200"/>
    </w:pPr>
  </w:style>
  <w:style w:type="character" w:customStyle="1" w:styleId="Domylnaczcionkaakapitu146">
    <w:name w:val="Domyślna czcionka akapitu146"/>
    <w:uiPriority w:val="1"/>
  </w:style>
  <w:style w:type="table" w:customStyle="1" w:styleId="Standardowy146">
    <w:name w:val="Standardowy146"/>
    <w:uiPriority w:val="99"/>
    <w:tblPr>
      <w:tblInd w:w="0" w:type="dxa"/>
      <w:tblCellMar>
        <w:top w:w="0" w:type="dxa"/>
        <w:left w:w="108" w:type="dxa"/>
        <w:bottom w:w="0" w:type="dxa"/>
        <w:right w:w="108" w:type="dxa"/>
      </w:tblCellMar>
    </w:tblPr>
  </w:style>
  <w:style w:type="numbering" w:customStyle="1" w:styleId="Bezlisty146">
    <w:name w:val="Bez listy146"/>
    <w:uiPriority w:val="99"/>
  </w:style>
  <w:style w:type="paragraph" w:customStyle="1" w:styleId="Normalny147">
    <w:name w:val="Normalny147"/>
    <w:qFormat/>
    <w:pPr>
      <w:spacing w:after="200"/>
    </w:pPr>
  </w:style>
  <w:style w:type="character" w:customStyle="1" w:styleId="Domylnaczcionkaakapitu147">
    <w:name w:val="Domyślna czcionka akapitu147"/>
    <w:uiPriority w:val="1"/>
  </w:style>
  <w:style w:type="table" w:customStyle="1" w:styleId="Standardowy147">
    <w:name w:val="Standardowy147"/>
    <w:uiPriority w:val="99"/>
    <w:tblPr>
      <w:tblInd w:w="0" w:type="dxa"/>
      <w:tblCellMar>
        <w:top w:w="0" w:type="dxa"/>
        <w:left w:w="108" w:type="dxa"/>
        <w:bottom w:w="0" w:type="dxa"/>
        <w:right w:w="108" w:type="dxa"/>
      </w:tblCellMar>
    </w:tblPr>
  </w:style>
  <w:style w:type="numbering" w:customStyle="1" w:styleId="Bezlisty147">
    <w:name w:val="Bez listy147"/>
    <w:uiPriority w:val="99"/>
  </w:style>
  <w:style w:type="paragraph" w:customStyle="1" w:styleId="Normalny148">
    <w:name w:val="Normalny148"/>
    <w:qFormat/>
    <w:pPr>
      <w:spacing w:after="200"/>
    </w:pPr>
  </w:style>
  <w:style w:type="character" w:customStyle="1" w:styleId="Domylnaczcionkaakapitu148">
    <w:name w:val="Domyślna czcionka akapitu148"/>
    <w:uiPriority w:val="1"/>
  </w:style>
  <w:style w:type="table" w:customStyle="1" w:styleId="Standardowy148">
    <w:name w:val="Standardowy148"/>
    <w:uiPriority w:val="99"/>
    <w:tblPr>
      <w:tblInd w:w="0" w:type="dxa"/>
      <w:tblCellMar>
        <w:top w:w="0" w:type="dxa"/>
        <w:left w:w="108" w:type="dxa"/>
        <w:bottom w:w="0" w:type="dxa"/>
        <w:right w:w="108" w:type="dxa"/>
      </w:tblCellMar>
    </w:tblPr>
  </w:style>
  <w:style w:type="numbering" w:customStyle="1" w:styleId="Bezlisty148">
    <w:name w:val="Bez listy148"/>
    <w:uiPriority w:val="99"/>
  </w:style>
  <w:style w:type="paragraph" w:customStyle="1" w:styleId="Normalny149">
    <w:name w:val="Normalny149"/>
    <w:qFormat/>
    <w:pPr>
      <w:spacing w:after="200"/>
    </w:pPr>
  </w:style>
  <w:style w:type="character" w:customStyle="1" w:styleId="Domylnaczcionkaakapitu149">
    <w:name w:val="Domyślna czcionka akapitu149"/>
    <w:uiPriority w:val="1"/>
  </w:style>
  <w:style w:type="table" w:customStyle="1" w:styleId="Standardowy149">
    <w:name w:val="Standardowy149"/>
    <w:uiPriority w:val="99"/>
    <w:tblPr>
      <w:tblInd w:w="0" w:type="dxa"/>
      <w:tblCellMar>
        <w:top w:w="0" w:type="dxa"/>
        <w:left w:w="108" w:type="dxa"/>
        <w:bottom w:w="0" w:type="dxa"/>
        <w:right w:w="108" w:type="dxa"/>
      </w:tblCellMar>
    </w:tblPr>
  </w:style>
  <w:style w:type="numbering" w:customStyle="1" w:styleId="Bezlisty149">
    <w:name w:val="Bez listy149"/>
    <w:uiPriority w:val="99"/>
  </w:style>
  <w:style w:type="paragraph" w:customStyle="1" w:styleId="Normalny150">
    <w:name w:val="Normalny150"/>
    <w:qFormat/>
    <w:pPr>
      <w:spacing w:after="200"/>
    </w:pPr>
  </w:style>
  <w:style w:type="character" w:customStyle="1" w:styleId="Domylnaczcionkaakapitu150">
    <w:name w:val="Domyślna czcionka akapitu150"/>
    <w:uiPriority w:val="1"/>
  </w:style>
  <w:style w:type="table" w:customStyle="1" w:styleId="Standardowy150">
    <w:name w:val="Standardowy150"/>
    <w:uiPriority w:val="99"/>
    <w:tblPr>
      <w:tblInd w:w="0" w:type="dxa"/>
      <w:tblCellMar>
        <w:top w:w="0" w:type="dxa"/>
        <w:left w:w="108" w:type="dxa"/>
        <w:bottom w:w="0" w:type="dxa"/>
        <w:right w:w="108" w:type="dxa"/>
      </w:tblCellMar>
    </w:tblPr>
  </w:style>
  <w:style w:type="numbering" w:customStyle="1" w:styleId="Bezlisty150">
    <w:name w:val="Bez listy150"/>
    <w:uiPriority w:val="99"/>
  </w:style>
  <w:style w:type="paragraph" w:customStyle="1" w:styleId="Normalny151">
    <w:name w:val="Normalny151"/>
    <w:qFormat/>
    <w:pPr>
      <w:spacing w:after="200"/>
    </w:pPr>
  </w:style>
  <w:style w:type="character" w:customStyle="1" w:styleId="Domylnaczcionkaakapitu151">
    <w:name w:val="Domyślna czcionka akapitu151"/>
    <w:uiPriority w:val="1"/>
  </w:style>
  <w:style w:type="table" w:customStyle="1" w:styleId="Standardowy151">
    <w:name w:val="Standardowy151"/>
    <w:uiPriority w:val="99"/>
    <w:tblPr>
      <w:tblInd w:w="0" w:type="dxa"/>
      <w:tblCellMar>
        <w:top w:w="0" w:type="dxa"/>
        <w:left w:w="108" w:type="dxa"/>
        <w:bottom w:w="0" w:type="dxa"/>
        <w:right w:w="108" w:type="dxa"/>
      </w:tblCellMar>
    </w:tblPr>
  </w:style>
  <w:style w:type="numbering" w:customStyle="1" w:styleId="Bezlisty151">
    <w:name w:val="Bez listy151"/>
    <w:uiPriority w:val="99"/>
  </w:style>
  <w:style w:type="paragraph" w:customStyle="1" w:styleId="Normalny152">
    <w:name w:val="Normalny152"/>
    <w:qFormat/>
    <w:pPr>
      <w:spacing w:after="200"/>
    </w:pPr>
  </w:style>
  <w:style w:type="character" w:customStyle="1" w:styleId="Domylnaczcionkaakapitu152">
    <w:name w:val="Domyślna czcionka akapitu152"/>
    <w:uiPriority w:val="1"/>
  </w:style>
  <w:style w:type="table" w:customStyle="1" w:styleId="Standardowy152">
    <w:name w:val="Standardowy152"/>
    <w:uiPriority w:val="99"/>
    <w:tblPr>
      <w:tblInd w:w="0" w:type="dxa"/>
      <w:tblCellMar>
        <w:top w:w="0" w:type="dxa"/>
        <w:left w:w="108" w:type="dxa"/>
        <w:bottom w:w="0" w:type="dxa"/>
        <w:right w:w="108" w:type="dxa"/>
      </w:tblCellMar>
    </w:tblPr>
  </w:style>
  <w:style w:type="numbering" w:customStyle="1" w:styleId="Bezlisty152">
    <w:name w:val="Bez listy152"/>
    <w:uiPriority w:val="99"/>
  </w:style>
  <w:style w:type="paragraph" w:customStyle="1" w:styleId="Normalny153">
    <w:name w:val="Normalny153"/>
    <w:qFormat/>
    <w:pPr>
      <w:spacing w:after="200"/>
    </w:pPr>
  </w:style>
  <w:style w:type="character" w:customStyle="1" w:styleId="Domylnaczcionkaakapitu153">
    <w:name w:val="Domyślna czcionka akapitu153"/>
    <w:uiPriority w:val="1"/>
  </w:style>
  <w:style w:type="table" w:customStyle="1" w:styleId="Standardowy153">
    <w:name w:val="Standardowy153"/>
    <w:uiPriority w:val="99"/>
    <w:tblPr>
      <w:tblInd w:w="0" w:type="dxa"/>
      <w:tblCellMar>
        <w:top w:w="0" w:type="dxa"/>
        <w:left w:w="108" w:type="dxa"/>
        <w:bottom w:w="0" w:type="dxa"/>
        <w:right w:w="108" w:type="dxa"/>
      </w:tblCellMar>
    </w:tblPr>
  </w:style>
  <w:style w:type="numbering" w:customStyle="1" w:styleId="Bezlisty153">
    <w:name w:val="Bez listy153"/>
    <w:uiPriority w:val="99"/>
  </w:style>
  <w:style w:type="paragraph" w:customStyle="1" w:styleId="Normalny154">
    <w:name w:val="Normalny154"/>
    <w:qFormat/>
    <w:pPr>
      <w:spacing w:after="200"/>
    </w:pPr>
  </w:style>
  <w:style w:type="character" w:customStyle="1" w:styleId="Domylnaczcionkaakapitu154">
    <w:name w:val="Domyślna czcionka akapitu154"/>
    <w:uiPriority w:val="1"/>
  </w:style>
  <w:style w:type="table" w:customStyle="1" w:styleId="Standardowy154">
    <w:name w:val="Standardowy154"/>
    <w:uiPriority w:val="99"/>
    <w:tblPr>
      <w:tblInd w:w="0" w:type="dxa"/>
      <w:tblCellMar>
        <w:top w:w="0" w:type="dxa"/>
        <w:left w:w="108" w:type="dxa"/>
        <w:bottom w:w="0" w:type="dxa"/>
        <w:right w:w="108" w:type="dxa"/>
      </w:tblCellMar>
    </w:tblPr>
  </w:style>
  <w:style w:type="numbering" w:customStyle="1" w:styleId="Bezlisty154">
    <w:name w:val="Bez listy154"/>
    <w:uiPriority w:val="99"/>
  </w:style>
  <w:style w:type="paragraph" w:customStyle="1" w:styleId="Normalny155">
    <w:name w:val="Normalny155"/>
    <w:qFormat/>
    <w:pPr>
      <w:spacing w:after="200"/>
    </w:pPr>
  </w:style>
  <w:style w:type="character" w:customStyle="1" w:styleId="Domylnaczcionkaakapitu155">
    <w:name w:val="Domyślna czcionka akapitu155"/>
    <w:uiPriority w:val="1"/>
  </w:style>
  <w:style w:type="table" w:customStyle="1" w:styleId="Standardowy155">
    <w:name w:val="Standardowy155"/>
    <w:uiPriority w:val="99"/>
    <w:tblPr>
      <w:tblInd w:w="0" w:type="dxa"/>
      <w:tblCellMar>
        <w:top w:w="0" w:type="dxa"/>
        <w:left w:w="108" w:type="dxa"/>
        <w:bottom w:w="0" w:type="dxa"/>
        <w:right w:w="108" w:type="dxa"/>
      </w:tblCellMar>
    </w:tblPr>
  </w:style>
  <w:style w:type="numbering" w:customStyle="1" w:styleId="Bezlisty155">
    <w:name w:val="Bez listy155"/>
    <w:uiPriority w:val="99"/>
  </w:style>
  <w:style w:type="paragraph" w:customStyle="1" w:styleId="Normalny156">
    <w:name w:val="Normalny156"/>
    <w:qFormat/>
    <w:pPr>
      <w:spacing w:after="200"/>
    </w:pPr>
  </w:style>
  <w:style w:type="character" w:customStyle="1" w:styleId="Domylnaczcionkaakapitu156">
    <w:name w:val="Domyślna czcionka akapitu156"/>
    <w:uiPriority w:val="1"/>
  </w:style>
  <w:style w:type="table" w:customStyle="1" w:styleId="Standardowy156">
    <w:name w:val="Standardowy156"/>
    <w:uiPriority w:val="99"/>
    <w:tblPr>
      <w:tblInd w:w="0" w:type="dxa"/>
      <w:tblCellMar>
        <w:top w:w="0" w:type="dxa"/>
        <w:left w:w="108" w:type="dxa"/>
        <w:bottom w:w="0" w:type="dxa"/>
        <w:right w:w="108" w:type="dxa"/>
      </w:tblCellMar>
    </w:tblPr>
  </w:style>
  <w:style w:type="numbering" w:customStyle="1" w:styleId="Bezlisty156">
    <w:name w:val="Bez listy156"/>
    <w:uiPriority w:val="99"/>
  </w:style>
  <w:style w:type="paragraph" w:customStyle="1" w:styleId="Normalny157">
    <w:name w:val="Normalny157"/>
    <w:qFormat/>
    <w:pPr>
      <w:spacing w:after="200"/>
    </w:pPr>
  </w:style>
  <w:style w:type="character" w:customStyle="1" w:styleId="Domylnaczcionkaakapitu157">
    <w:name w:val="Domyślna czcionka akapitu157"/>
    <w:uiPriority w:val="1"/>
  </w:style>
  <w:style w:type="table" w:customStyle="1" w:styleId="Standardowy157">
    <w:name w:val="Standardowy157"/>
    <w:uiPriority w:val="99"/>
    <w:tblPr>
      <w:tblInd w:w="0" w:type="dxa"/>
      <w:tblCellMar>
        <w:top w:w="0" w:type="dxa"/>
        <w:left w:w="108" w:type="dxa"/>
        <w:bottom w:w="0" w:type="dxa"/>
        <w:right w:w="108" w:type="dxa"/>
      </w:tblCellMar>
    </w:tblPr>
  </w:style>
  <w:style w:type="numbering" w:customStyle="1" w:styleId="Bezlisty157">
    <w:name w:val="Bez listy157"/>
    <w:uiPriority w:val="99"/>
  </w:style>
  <w:style w:type="paragraph" w:customStyle="1" w:styleId="Normalny158">
    <w:name w:val="Normalny158"/>
    <w:qFormat/>
    <w:pPr>
      <w:spacing w:after="200"/>
    </w:pPr>
  </w:style>
  <w:style w:type="character" w:customStyle="1" w:styleId="Domylnaczcionkaakapitu158">
    <w:name w:val="Domyślna czcionka akapitu158"/>
    <w:uiPriority w:val="1"/>
  </w:style>
  <w:style w:type="table" w:customStyle="1" w:styleId="Standardowy158">
    <w:name w:val="Standardowy158"/>
    <w:uiPriority w:val="99"/>
    <w:tblPr>
      <w:tblInd w:w="0" w:type="dxa"/>
      <w:tblCellMar>
        <w:top w:w="0" w:type="dxa"/>
        <w:left w:w="108" w:type="dxa"/>
        <w:bottom w:w="0" w:type="dxa"/>
        <w:right w:w="108" w:type="dxa"/>
      </w:tblCellMar>
    </w:tblPr>
  </w:style>
  <w:style w:type="numbering" w:customStyle="1" w:styleId="Bezlisty158">
    <w:name w:val="Bez listy158"/>
    <w:uiPriority w:val="99"/>
  </w:style>
  <w:style w:type="paragraph" w:customStyle="1" w:styleId="Normalny159">
    <w:name w:val="Normalny159"/>
    <w:qFormat/>
    <w:pPr>
      <w:spacing w:after="200"/>
    </w:pPr>
  </w:style>
  <w:style w:type="character" w:customStyle="1" w:styleId="Domylnaczcionkaakapitu159">
    <w:name w:val="Domyślna czcionka akapitu159"/>
    <w:uiPriority w:val="1"/>
  </w:style>
  <w:style w:type="table" w:customStyle="1" w:styleId="Standardowy159">
    <w:name w:val="Standardowy159"/>
    <w:uiPriority w:val="99"/>
    <w:tblPr>
      <w:tblInd w:w="0" w:type="dxa"/>
      <w:tblCellMar>
        <w:top w:w="0" w:type="dxa"/>
        <w:left w:w="108" w:type="dxa"/>
        <w:bottom w:w="0" w:type="dxa"/>
        <w:right w:w="108" w:type="dxa"/>
      </w:tblCellMar>
    </w:tblPr>
  </w:style>
  <w:style w:type="numbering" w:customStyle="1" w:styleId="Bezlisty159">
    <w:name w:val="Bez listy159"/>
    <w:uiPriority w:val="99"/>
  </w:style>
  <w:style w:type="paragraph" w:customStyle="1" w:styleId="Normalny160">
    <w:name w:val="Normalny160"/>
    <w:qFormat/>
    <w:pPr>
      <w:spacing w:after="200"/>
    </w:pPr>
  </w:style>
  <w:style w:type="character" w:customStyle="1" w:styleId="Domylnaczcionkaakapitu160">
    <w:name w:val="Domyślna czcionka akapitu160"/>
    <w:uiPriority w:val="1"/>
  </w:style>
  <w:style w:type="table" w:customStyle="1" w:styleId="Standardowy160">
    <w:name w:val="Standardowy160"/>
    <w:uiPriority w:val="99"/>
    <w:tblPr>
      <w:tblInd w:w="0" w:type="dxa"/>
      <w:tblCellMar>
        <w:top w:w="0" w:type="dxa"/>
        <w:left w:w="108" w:type="dxa"/>
        <w:bottom w:w="0" w:type="dxa"/>
        <w:right w:w="108" w:type="dxa"/>
      </w:tblCellMar>
    </w:tblPr>
  </w:style>
  <w:style w:type="numbering" w:customStyle="1" w:styleId="Bezlisty160">
    <w:name w:val="Bez listy160"/>
    <w:uiPriority w:val="99"/>
  </w:style>
  <w:style w:type="paragraph" w:customStyle="1" w:styleId="Normalny161">
    <w:name w:val="Normalny161"/>
    <w:qFormat/>
    <w:pPr>
      <w:spacing w:after="200"/>
    </w:pPr>
  </w:style>
  <w:style w:type="character" w:customStyle="1" w:styleId="Domylnaczcionkaakapitu161">
    <w:name w:val="Domyślna czcionka akapitu161"/>
    <w:uiPriority w:val="1"/>
  </w:style>
  <w:style w:type="table" w:customStyle="1" w:styleId="Standardowy161">
    <w:name w:val="Standardowy161"/>
    <w:uiPriority w:val="99"/>
    <w:tblPr>
      <w:tblInd w:w="0" w:type="dxa"/>
      <w:tblCellMar>
        <w:top w:w="0" w:type="dxa"/>
        <w:left w:w="108" w:type="dxa"/>
        <w:bottom w:w="0" w:type="dxa"/>
        <w:right w:w="108" w:type="dxa"/>
      </w:tblCellMar>
    </w:tblPr>
  </w:style>
  <w:style w:type="numbering" w:customStyle="1" w:styleId="Bezlisty161">
    <w:name w:val="Bez listy161"/>
    <w:uiPriority w:val="99"/>
  </w:style>
  <w:style w:type="paragraph" w:customStyle="1" w:styleId="Normalny162">
    <w:name w:val="Normalny162"/>
    <w:qFormat/>
    <w:pPr>
      <w:spacing w:after="200"/>
    </w:pPr>
  </w:style>
  <w:style w:type="character" w:customStyle="1" w:styleId="Domylnaczcionkaakapitu162">
    <w:name w:val="Domyślna czcionka akapitu162"/>
    <w:uiPriority w:val="1"/>
  </w:style>
  <w:style w:type="table" w:customStyle="1" w:styleId="Standardowy162">
    <w:name w:val="Standardowy162"/>
    <w:uiPriority w:val="99"/>
    <w:tblPr>
      <w:tblInd w:w="0" w:type="dxa"/>
      <w:tblCellMar>
        <w:top w:w="0" w:type="dxa"/>
        <w:left w:w="108" w:type="dxa"/>
        <w:bottom w:w="0" w:type="dxa"/>
        <w:right w:w="108" w:type="dxa"/>
      </w:tblCellMar>
    </w:tblPr>
  </w:style>
  <w:style w:type="numbering" w:customStyle="1" w:styleId="Bezlisty162">
    <w:name w:val="Bez listy162"/>
    <w:uiPriority w:val="99"/>
  </w:style>
  <w:style w:type="paragraph" w:customStyle="1" w:styleId="Normalny163">
    <w:name w:val="Normalny163"/>
    <w:qFormat/>
    <w:pPr>
      <w:spacing w:after="200"/>
    </w:pPr>
  </w:style>
  <w:style w:type="character" w:customStyle="1" w:styleId="Domylnaczcionkaakapitu163">
    <w:name w:val="Domyślna czcionka akapitu163"/>
    <w:uiPriority w:val="1"/>
  </w:style>
  <w:style w:type="table" w:customStyle="1" w:styleId="Standardowy163">
    <w:name w:val="Standardowy163"/>
    <w:uiPriority w:val="99"/>
    <w:tblPr>
      <w:tblInd w:w="0" w:type="dxa"/>
      <w:tblCellMar>
        <w:top w:w="0" w:type="dxa"/>
        <w:left w:w="108" w:type="dxa"/>
        <w:bottom w:w="0" w:type="dxa"/>
        <w:right w:w="108" w:type="dxa"/>
      </w:tblCellMar>
    </w:tblPr>
  </w:style>
  <w:style w:type="numbering" w:customStyle="1" w:styleId="Bezlisty163">
    <w:name w:val="Bez listy163"/>
    <w:uiPriority w:val="99"/>
  </w:style>
  <w:style w:type="paragraph" w:customStyle="1" w:styleId="Normalny164">
    <w:name w:val="Normalny164"/>
    <w:qFormat/>
    <w:pPr>
      <w:spacing w:after="200"/>
    </w:pPr>
  </w:style>
  <w:style w:type="character" w:customStyle="1" w:styleId="Domylnaczcionkaakapitu164">
    <w:name w:val="Domyślna czcionka akapitu164"/>
    <w:uiPriority w:val="1"/>
  </w:style>
  <w:style w:type="table" w:customStyle="1" w:styleId="Standardowy164">
    <w:name w:val="Standardowy164"/>
    <w:uiPriority w:val="99"/>
    <w:tblPr>
      <w:tblInd w:w="0" w:type="dxa"/>
      <w:tblCellMar>
        <w:top w:w="0" w:type="dxa"/>
        <w:left w:w="108" w:type="dxa"/>
        <w:bottom w:w="0" w:type="dxa"/>
        <w:right w:w="108" w:type="dxa"/>
      </w:tblCellMar>
    </w:tblPr>
  </w:style>
  <w:style w:type="numbering" w:customStyle="1" w:styleId="Bezlisty164">
    <w:name w:val="Bez listy164"/>
    <w:uiPriority w:val="99"/>
  </w:style>
  <w:style w:type="paragraph" w:customStyle="1" w:styleId="Normalny165">
    <w:name w:val="Normalny165"/>
    <w:qFormat/>
    <w:pPr>
      <w:spacing w:after="200"/>
    </w:pPr>
  </w:style>
  <w:style w:type="character" w:customStyle="1" w:styleId="Domylnaczcionkaakapitu165">
    <w:name w:val="Domyślna czcionka akapitu165"/>
    <w:uiPriority w:val="1"/>
  </w:style>
  <w:style w:type="table" w:customStyle="1" w:styleId="Standardowy165">
    <w:name w:val="Standardowy165"/>
    <w:uiPriority w:val="99"/>
    <w:tblPr>
      <w:tblInd w:w="0" w:type="dxa"/>
      <w:tblCellMar>
        <w:top w:w="0" w:type="dxa"/>
        <w:left w:w="108" w:type="dxa"/>
        <w:bottom w:w="0" w:type="dxa"/>
        <w:right w:w="108" w:type="dxa"/>
      </w:tblCellMar>
    </w:tblPr>
  </w:style>
  <w:style w:type="numbering" w:customStyle="1" w:styleId="Bezlisty165">
    <w:name w:val="Bez listy165"/>
    <w:uiPriority w:val="99"/>
  </w:style>
  <w:style w:type="paragraph" w:customStyle="1" w:styleId="Normalny166">
    <w:name w:val="Normalny166"/>
    <w:qFormat/>
    <w:pPr>
      <w:spacing w:after="200"/>
    </w:pPr>
  </w:style>
  <w:style w:type="character" w:customStyle="1" w:styleId="Domylnaczcionkaakapitu166">
    <w:name w:val="Domyślna czcionka akapitu166"/>
    <w:uiPriority w:val="1"/>
  </w:style>
  <w:style w:type="table" w:customStyle="1" w:styleId="Standardowy166">
    <w:name w:val="Standardowy166"/>
    <w:uiPriority w:val="99"/>
    <w:tblPr>
      <w:tblInd w:w="0" w:type="dxa"/>
      <w:tblCellMar>
        <w:top w:w="0" w:type="dxa"/>
        <w:left w:w="108" w:type="dxa"/>
        <w:bottom w:w="0" w:type="dxa"/>
        <w:right w:w="108" w:type="dxa"/>
      </w:tblCellMar>
    </w:tblPr>
  </w:style>
  <w:style w:type="numbering" w:customStyle="1" w:styleId="Bezlisty166">
    <w:name w:val="Bez listy166"/>
    <w:uiPriority w:val="99"/>
  </w:style>
  <w:style w:type="paragraph" w:customStyle="1" w:styleId="Normalny167">
    <w:name w:val="Normalny167"/>
    <w:qFormat/>
    <w:pPr>
      <w:spacing w:after="200"/>
    </w:pPr>
  </w:style>
  <w:style w:type="character" w:customStyle="1" w:styleId="Domylnaczcionkaakapitu167">
    <w:name w:val="Domyślna czcionka akapitu167"/>
    <w:uiPriority w:val="1"/>
  </w:style>
  <w:style w:type="table" w:customStyle="1" w:styleId="Standardowy167">
    <w:name w:val="Standardowy167"/>
    <w:uiPriority w:val="99"/>
    <w:tblPr>
      <w:tblInd w:w="0" w:type="dxa"/>
      <w:tblCellMar>
        <w:top w:w="0" w:type="dxa"/>
        <w:left w:w="108" w:type="dxa"/>
        <w:bottom w:w="0" w:type="dxa"/>
        <w:right w:w="108" w:type="dxa"/>
      </w:tblCellMar>
    </w:tblPr>
  </w:style>
  <w:style w:type="numbering" w:customStyle="1" w:styleId="Bezlisty167">
    <w:name w:val="Bez listy167"/>
    <w:uiPriority w:val="99"/>
  </w:style>
  <w:style w:type="paragraph" w:customStyle="1" w:styleId="Normalny168">
    <w:name w:val="Normalny168"/>
    <w:qFormat/>
    <w:pPr>
      <w:spacing w:after="200"/>
    </w:pPr>
  </w:style>
  <w:style w:type="character" w:customStyle="1" w:styleId="Domylnaczcionkaakapitu168">
    <w:name w:val="Domyślna czcionka akapitu168"/>
    <w:uiPriority w:val="1"/>
  </w:style>
  <w:style w:type="table" w:customStyle="1" w:styleId="Standardowy168">
    <w:name w:val="Standardowy168"/>
    <w:uiPriority w:val="99"/>
    <w:tblPr>
      <w:tblInd w:w="0" w:type="dxa"/>
      <w:tblCellMar>
        <w:top w:w="0" w:type="dxa"/>
        <w:left w:w="108" w:type="dxa"/>
        <w:bottom w:w="0" w:type="dxa"/>
        <w:right w:w="108" w:type="dxa"/>
      </w:tblCellMar>
    </w:tblPr>
  </w:style>
  <w:style w:type="numbering" w:customStyle="1" w:styleId="Bezlisty168">
    <w:name w:val="Bez listy168"/>
    <w:uiPriority w:val="99"/>
  </w:style>
  <w:style w:type="paragraph" w:customStyle="1" w:styleId="Normalny169">
    <w:name w:val="Normalny169"/>
    <w:qFormat/>
    <w:pPr>
      <w:spacing w:after="200"/>
    </w:pPr>
  </w:style>
  <w:style w:type="character" w:customStyle="1" w:styleId="Domylnaczcionkaakapitu169">
    <w:name w:val="Domyślna czcionka akapitu169"/>
    <w:uiPriority w:val="1"/>
  </w:style>
  <w:style w:type="table" w:customStyle="1" w:styleId="Standardowy169">
    <w:name w:val="Standardowy169"/>
    <w:uiPriority w:val="99"/>
    <w:tblPr>
      <w:tblInd w:w="0" w:type="dxa"/>
      <w:tblCellMar>
        <w:top w:w="0" w:type="dxa"/>
        <w:left w:w="108" w:type="dxa"/>
        <w:bottom w:w="0" w:type="dxa"/>
        <w:right w:w="108" w:type="dxa"/>
      </w:tblCellMar>
    </w:tblPr>
  </w:style>
  <w:style w:type="numbering" w:customStyle="1" w:styleId="Bezlisty169">
    <w:name w:val="Bez listy169"/>
    <w:uiPriority w:val="99"/>
  </w:style>
  <w:style w:type="paragraph" w:customStyle="1" w:styleId="Normalny170">
    <w:name w:val="Normalny170"/>
    <w:qFormat/>
    <w:pPr>
      <w:spacing w:after="200"/>
    </w:pPr>
  </w:style>
  <w:style w:type="character" w:customStyle="1" w:styleId="Domylnaczcionkaakapitu170">
    <w:name w:val="Domyślna czcionka akapitu170"/>
    <w:uiPriority w:val="1"/>
  </w:style>
  <w:style w:type="table" w:customStyle="1" w:styleId="Standardowy170">
    <w:name w:val="Standardowy170"/>
    <w:uiPriority w:val="99"/>
    <w:tblPr>
      <w:tblInd w:w="0" w:type="dxa"/>
      <w:tblCellMar>
        <w:top w:w="0" w:type="dxa"/>
        <w:left w:w="108" w:type="dxa"/>
        <w:bottom w:w="0" w:type="dxa"/>
        <w:right w:w="108" w:type="dxa"/>
      </w:tblCellMar>
    </w:tblPr>
  </w:style>
  <w:style w:type="numbering" w:customStyle="1" w:styleId="Bezlisty170">
    <w:name w:val="Bez listy170"/>
    <w:uiPriority w:val="99"/>
  </w:style>
  <w:style w:type="paragraph" w:customStyle="1" w:styleId="Normalny171">
    <w:name w:val="Normalny171"/>
    <w:qFormat/>
    <w:pPr>
      <w:spacing w:after="200"/>
    </w:pPr>
  </w:style>
  <w:style w:type="character" w:customStyle="1" w:styleId="Domylnaczcionkaakapitu171">
    <w:name w:val="Domyślna czcionka akapitu171"/>
    <w:uiPriority w:val="1"/>
  </w:style>
  <w:style w:type="table" w:customStyle="1" w:styleId="Standardowy171">
    <w:name w:val="Standardowy171"/>
    <w:uiPriority w:val="99"/>
    <w:tblPr>
      <w:tblInd w:w="0" w:type="dxa"/>
      <w:tblCellMar>
        <w:top w:w="0" w:type="dxa"/>
        <w:left w:w="108" w:type="dxa"/>
        <w:bottom w:w="0" w:type="dxa"/>
        <w:right w:w="108" w:type="dxa"/>
      </w:tblCellMar>
    </w:tblPr>
  </w:style>
  <w:style w:type="numbering" w:customStyle="1" w:styleId="Bezlisty171">
    <w:name w:val="Bez listy171"/>
    <w:uiPriority w:val="99"/>
  </w:style>
  <w:style w:type="paragraph" w:customStyle="1" w:styleId="Normalny172">
    <w:name w:val="Normalny172"/>
    <w:qFormat/>
    <w:pPr>
      <w:spacing w:after="200"/>
    </w:pPr>
  </w:style>
  <w:style w:type="character" w:customStyle="1" w:styleId="Domylnaczcionkaakapitu172">
    <w:name w:val="Domyślna czcionka akapitu172"/>
    <w:uiPriority w:val="1"/>
  </w:style>
  <w:style w:type="table" w:customStyle="1" w:styleId="Standardowy172">
    <w:name w:val="Standardowy172"/>
    <w:uiPriority w:val="99"/>
    <w:tblPr>
      <w:tblInd w:w="0" w:type="dxa"/>
      <w:tblCellMar>
        <w:top w:w="0" w:type="dxa"/>
        <w:left w:w="108" w:type="dxa"/>
        <w:bottom w:w="0" w:type="dxa"/>
        <w:right w:w="108" w:type="dxa"/>
      </w:tblCellMar>
    </w:tblPr>
  </w:style>
  <w:style w:type="numbering" w:customStyle="1" w:styleId="Bezlisty172">
    <w:name w:val="Bez listy172"/>
    <w:uiPriority w:val="99"/>
  </w:style>
  <w:style w:type="paragraph" w:customStyle="1" w:styleId="Normalny173">
    <w:name w:val="Normalny173"/>
    <w:qFormat/>
    <w:pPr>
      <w:spacing w:after="200"/>
    </w:pPr>
  </w:style>
  <w:style w:type="character" w:customStyle="1" w:styleId="Domylnaczcionkaakapitu173">
    <w:name w:val="Domyślna czcionka akapitu173"/>
    <w:uiPriority w:val="1"/>
  </w:style>
  <w:style w:type="table" w:customStyle="1" w:styleId="Standardowy173">
    <w:name w:val="Standardowy173"/>
    <w:uiPriority w:val="99"/>
    <w:tblPr>
      <w:tblInd w:w="0" w:type="dxa"/>
      <w:tblCellMar>
        <w:top w:w="0" w:type="dxa"/>
        <w:left w:w="108" w:type="dxa"/>
        <w:bottom w:w="0" w:type="dxa"/>
        <w:right w:w="108" w:type="dxa"/>
      </w:tblCellMar>
    </w:tblPr>
  </w:style>
  <w:style w:type="numbering" w:customStyle="1" w:styleId="Bezlisty173">
    <w:name w:val="Bez listy173"/>
    <w:uiPriority w:val="99"/>
  </w:style>
  <w:style w:type="paragraph" w:customStyle="1" w:styleId="Normalny174">
    <w:name w:val="Normalny174"/>
    <w:qFormat/>
    <w:pPr>
      <w:spacing w:after="200"/>
    </w:pPr>
  </w:style>
  <w:style w:type="character" w:customStyle="1" w:styleId="Domylnaczcionkaakapitu174">
    <w:name w:val="Domyślna czcionka akapitu174"/>
    <w:uiPriority w:val="1"/>
  </w:style>
  <w:style w:type="table" w:customStyle="1" w:styleId="Standardowy174">
    <w:name w:val="Standardowy174"/>
    <w:uiPriority w:val="99"/>
    <w:tblPr>
      <w:tblInd w:w="0" w:type="dxa"/>
      <w:tblCellMar>
        <w:top w:w="0" w:type="dxa"/>
        <w:left w:w="108" w:type="dxa"/>
        <w:bottom w:w="0" w:type="dxa"/>
        <w:right w:w="108" w:type="dxa"/>
      </w:tblCellMar>
    </w:tblPr>
  </w:style>
  <w:style w:type="numbering" w:customStyle="1" w:styleId="Bezlisty174">
    <w:name w:val="Bez listy174"/>
    <w:uiPriority w:val="99"/>
  </w:style>
  <w:style w:type="paragraph" w:customStyle="1" w:styleId="Normalny175">
    <w:name w:val="Normalny175"/>
    <w:qFormat/>
    <w:pPr>
      <w:spacing w:after="200"/>
    </w:pPr>
  </w:style>
  <w:style w:type="character" w:customStyle="1" w:styleId="Domylnaczcionkaakapitu175">
    <w:name w:val="Domyślna czcionka akapitu175"/>
    <w:uiPriority w:val="1"/>
  </w:style>
  <w:style w:type="table" w:customStyle="1" w:styleId="Standardowy175">
    <w:name w:val="Standardowy175"/>
    <w:uiPriority w:val="99"/>
    <w:tblPr>
      <w:tblInd w:w="0" w:type="dxa"/>
      <w:tblCellMar>
        <w:top w:w="0" w:type="dxa"/>
        <w:left w:w="108" w:type="dxa"/>
        <w:bottom w:w="0" w:type="dxa"/>
        <w:right w:w="108" w:type="dxa"/>
      </w:tblCellMar>
    </w:tblPr>
  </w:style>
  <w:style w:type="numbering" w:customStyle="1" w:styleId="Bezlisty175">
    <w:name w:val="Bez listy175"/>
    <w:uiPriority w:val="99"/>
  </w:style>
  <w:style w:type="paragraph" w:customStyle="1" w:styleId="Normalny176">
    <w:name w:val="Normalny176"/>
    <w:qFormat/>
    <w:pPr>
      <w:spacing w:after="200"/>
    </w:pPr>
  </w:style>
  <w:style w:type="character" w:customStyle="1" w:styleId="Domylnaczcionkaakapitu176">
    <w:name w:val="Domyślna czcionka akapitu176"/>
    <w:uiPriority w:val="1"/>
  </w:style>
  <w:style w:type="table" w:customStyle="1" w:styleId="Standardowy176">
    <w:name w:val="Standardowy176"/>
    <w:uiPriority w:val="99"/>
    <w:tblPr>
      <w:tblInd w:w="0" w:type="dxa"/>
      <w:tblCellMar>
        <w:top w:w="0" w:type="dxa"/>
        <w:left w:w="108" w:type="dxa"/>
        <w:bottom w:w="0" w:type="dxa"/>
        <w:right w:w="108" w:type="dxa"/>
      </w:tblCellMar>
    </w:tblPr>
  </w:style>
  <w:style w:type="numbering" w:customStyle="1" w:styleId="Bezlisty176">
    <w:name w:val="Bez listy176"/>
    <w:uiPriority w:val="99"/>
  </w:style>
  <w:style w:type="paragraph" w:customStyle="1" w:styleId="Normalny177">
    <w:name w:val="Normalny177"/>
    <w:qFormat/>
    <w:pPr>
      <w:spacing w:after="200"/>
    </w:pPr>
  </w:style>
  <w:style w:type="character" w:customStyle="1" w:styleId="Domylnaczcionkaakapitu177">
    <w:name w:val="Domyślna czcionka akapitu177"/>
    <w:uiPriority w:val="1"/>
  </w:style>
  <w:style w:type="table" w:customStyle="1" w:styleId="Standardowy177">
    <w:name w:val="Standardowy177"/>
    <w:uiPriority w:val="99"/>
    <w:tblPr>
      <w:tblInd w:w="0" w:type="dxa"/>
      <w:tblCellMar>
        <w:top w:w="0" w:type="dxa"/>
        <w:left w:w="108" w:type="dxa"/>
        <w:bottom w:w="0" w:type="dxa"/>
        <w:right w:w="108" w:type="dxa"/>
      </w:tblCellMar>
    </w:tblPr>
  </w:style>
  <w:style w:type="numbering" w:customStyle="1" w:styleId="Bezlisty177">
    <w:name w:val="Bez listy177"/>
    <w:uiPriority w:val="99"/>
  </w:style>
  <w:style w:type="paragraph" w:customStyle="1" w:styleId="Normalny178">
    <w:name w:val="Normalny178"/>
    <w:qFormat/>
    <w:pPr>
      <w:spacing w:after="200"/>
    </w:pPr>
  </w:style>
  <w:style w:type="character" w:customStyle="1" w:styleId="Domylnaczcionkaakapitu178">
    <w:name w:val="Domyślna czcionka akapitu178"/>
    <w:uiPriority w:val="1"/>
  </w:style>
  <w:style w:type="table" w:customStyle="1" w:styleId="Standardowy178">
    <w:name w:val="Standardowy178"/>
    <w:uiPriority w:val="99"/>
    <w:tblPr>
      <w:tblInd w:w="0" w:type="dxa"/>
      <w:tblCellMar>
        <w:top w:w="0" w:type="dxa"/>
        <w:left w:w="108" w:type="dxa"/>
        <w:bottom w:w="0" w:type="dxa"/>
        <w:right w:w="108" w:type="dxa"/>
      </w:tblCellMar>
    </w:tblPr>
  </w:style>
  <w:style w:type="numbering" w:customStyle="1" w:styleId="Bezlisty178">
    <w:name w:val="Bez listy178"/>
    <w:uiPriority w:val="99"/>
  </w:style>
  <w:style w:type="paragraph" w:customStyle="1" w:styleId="Normalny179">
    <w:name w:val="Normalny179"/>
    <w:qFormat/>
    <w:pPr>
      <w:spacing w:after="200"/>
    </w:pPr>
  </w:style>
  <w:style w:type="character" w:customStyle="1" w:styleId="Domylnaczcionkaakapitu179">
    <w:name w:val="Domyślna czcionka akapitu179"/>
    <w:uiPriority w:val="1"/>
  </w:style>
  <w:style w:type="table" w:customStyle="1" w:styleId="Standardowy179">
    <w:name w:val="Standardowy179"/>
    <w:uiPriority w:val="99"/>
    <w:tblPr>
      <w:tblInd w:w="0" w:type="dxa"/>
      <w:tblCellMar>
        <w:top w:w="0" w:type="dxa"/>
        <w:left w:w="108" w:type="dxa"/>
        <w:bottom w:w="0" w:type="dxa"/>
        <w:right w:w="108" w:type="dxa"/>
      </w:tblCellMar>
    </w:tblPr>
  </w:style>
  <w:style w:type="numbering" w:customStyle="1" w:styleId="Bezlisty179">
    <w:name w:val="Bez listy179"/>
    <w:uiPriority w:val="99"/>
  </w:style>
  <w:style w:type="paragraph" w:customStyle="1" w:styleId="Normalny180">
    <w:name w:val="Normalny180"/>
    <w:qFormat/>
    <w:pPr>
      <w:spacing w:after="200"/>
    </w:pPr>
  </w:style>
  <w:style w:type="character" w:customStyle="1" w:styleId="Domylnaczcionkaakapitu180">
    <w:name w:val="Domyślna czcionka akapitu180"/>
    <w:uiPriority w:val="1"/>
  </w:style>
  <w:style w:type="table" w:customStyle="1" w:styleId="Standardowy180">
    <w:name w:val="Standardowy180"/>
    <w:uiPriority w:val="99"/>
    <w:tblPr>
      <w:tblInd w:w="0" w:type="dxa"/>
      <w:tblCellMar>
        <w:top w:w="0" w:type="dxa"/>
        <w:left w:w="108" w:type="dxa"/>
        <w:bottom w:w="0" w:type="dxa"/>
        <w:right w:w="108" w:type="dxa"/>
      </w:tblCellMar>
    </w:tblPr>
  </w:style>
  <w:style w:type="numbering" w:customStyle="1" w:styleId="Bezlisty180">
    <w:name w:val="Bez listy180"/>
    <w:uiPriority w:val="99"/>
  </w:style>
  <w:style w:type="paragraph" w:customStyle="1" w:styleId="Normalny181">
    <w:name w:val="Normalny181"/>
    <w:qFormat/>
    <w:pPr>
      <w:spacing w:after="200"/>
    </w:pPr>
  </w:style>
  <w:style w:type="character" w:customStyle="1" w:styleId="Domylnaczcionkaakapitu181">
    <w:name w:val="Domyślna czcionka akapitu181"/>
    <w:uiPriority w:val="1"/>
  </w:style>
  <w:style w:type="table" w:customStyle="1" w:styleId="Standardowy181">
    <w:name w:val="Standardowy181"/>
    <w:uiPriority w:val="99"/>
    <w:tblPr>
      <w:tblInd w:w="0" w:type="dxa"/>
      <w:tblCellMar>
        <w:top w:w="0" w:type="dxa"/>
        <w:left w:w="108" w:type="dxa"/>
        <w:bottom w:w="0" w:type="dxa"/>
        <w:right w:w="108" w:type="dxa"/>
      </w:tblCellMar>
    </w:tblPr>
  </w:style>
  <w:style w:type="numbering" w:customStyle="1" w:styleId="Bezlisty181">
    <w:name w:val="Bez listy181"/>
    <w:uiPriority w:val="99"/>
  </w:style>
  <w:style w:type="paragraph" w:customStyle="1" w:styleId="Normalny182">
    <w:name w:val="Normalny182"/>
    <w:qFormat/>
    <w:pPr>
      <w:spacing w:after="200"/>
    </w:pPr>
  </w:style>
  <w:style w:type="character" w:customStyle="1" w:styleId="Domylnaczcionkaakapitu182">
    <w:name w:val="Domyślna czcionka akapitu182"/>
    <w:uiPriority w:val="1"/>
  </w:style>
  <w:style w:type="table" w:customStyle="1" w:styleId="Standardowy182">
    <w:name w:val="Standardowy182"/>
    <w:uiPriority w:val="99"/>
    <w:tblPr>
      <w:tblInd w:w="0" w:type="dxa"/>
      <w:tblCellMar>
        <w:top w:w="0" w:type="dxa"/>
        <w:left w:w="108" w:type="dxa"/>
        <w:bottom w:w="0" w:type="dxa"/>
        <w:right w:w="108" w:type="dxa"/>
      </w:tblCellMar>
    </w:tblPr>
  </w:style>
  <w:style w:type="numbering" w:customStyle="1" w:styleId="Bezlisty182">
    <w:name w:val="Bez listy182"/>
    <w:uiPriority w:val="99"/>
  </w:style>
  <w:style w:type="paragraph" w:customStyle="1" w:styleId="Normalny183">
    <w:name w:val="Normalny183"/>
    <w:qFormat/>
    <w:pPr>
      <w:spacing w:after="200"/>
    </w:pPr>
  </w:style>
  <w:style w:type="character" w:customStyle="1" w:styleId="Domylnaczcionkaakapitu183">
    <w:name w:val="Domyślna czcionka akapitu183"/>
    <w:uiPriority w:val="1"/>
  </w:style>
  <w:style w:type="table" w:customStyle="1" w:styleId="Standardowy183">
    <w:name w:val="Standardowy183"/>
    <w:uiPriority w:val="99"/>
    <w:tblPr>
      <w:tblInd w:w="0" w:type="dxa"/>
      <w:tblCellMar>
        <w:top w:w="0" w:type="dxa"/>
        <w:left w:w="108" w:type="dxa"/>
        <w:bottom w:w="0" w:type="dxa"/>
        <w:right w:w="108" w:type="dxa"/>
      </w:tblCellMar>
    </w:tblPr>
  </w:style>
  <w:style w:type="numbering" w:customStyle="1" w:styleId="Bezlisty183">
    <w:name w:val="Bez listy183"/>
    <w:uiPriority w:val="99"/>
  </w:style>
  <w:style w:type="paragraph" w:customStyle="1" w:styleId="Normalny184">
    <w:name w:val="Normalny184"/>
    <w:qFormat/>
    <w:pPr>
      <w:spacing w:after="200"/>
    </w:pPr>
  </w:style>
  <w:style w:type="character" w:customStyle="1" w:styleId="Domylnaczcionkaakapitu184">
    <w:name w:val="Domyślna czcionka akapitu184"/>
    <w:uiPriority w:val="1"/>
  </w:style>
  <w:style w:type="table" w:customStyle="1" w:styleId="Standardowy184">
    <w:name w:val="Standardowy184"/>
    <w:uiPriority w:val="99"/>
    <w:tblPr>
      <w:tblInd w:w="0" w:type="dxa"/>
      <w:tblCellMar>
        <w:top w:w="0" w:type="dxa"/>
        <w:left w:w="108" w:type="dxa"/>
        <w:bottom w:w="0" w:type="dxa"/>
        <w:right w:w="108" w:type="dxa"/>
      </w:tblCellMar>
    </w:tblPr>
  </w:style>
  <w:style w:type="numbering" w:customStyle="1" w:styleId="Bezlisty184">
    <w:name w:val="Bez listy184"/>
    <w:uiPriority w:val="99"/>
  </w:style>
  <w:style w:type="paragraph" w:customStyle="1" w:styleId="Normalny185">
    <w:name w:val="Normalny185"/>
    <w:qFormat/>
    <w:pPr>
      <w:spacing w:after="200"/>
    </w:pPr>
  </w:style>
  <w:style w:type="character" w:customStyle="1" w:styleId="Domylnaczcionkaakapitu185">
    <w:name w:val="Domyślna czcionka akapitu185"/>
    <w:uiPriority w:val="1"/>
  </w:style>
  <w:style w:type="table" w:customStyle="1" w:styleId="Standardowy185">
    <w:name w:val="Standardowy185"/>
    <w:uiPriority w:val="99"/>
    <w:tblPr>
      <w:tblInd w:w="0" w:type="dxa"/>
      <w:tblCellMar>
        <w:top w:w="0" w:type="dxa"/>
        <w:left w:w="108" w:type="dxa"/>
        <w:bottom w:w="0" w:type="dxa"/>
        <w:right w:w="108" w:type="dxa"/>
      </w:tblCellMar>
    </w:tblPr>
  </w:style>
  <w:style w:type="numbering" w:customStyle="1" w:styleId="Bezlisty185">
    <w:name w:val="Bez listy185"/>
    <w:uiPriority w:val="99"/>
  </w:style>
  <w:style w:type="paragraph" w:customStyle="1" w:styleId="Normalny186">
    <w:name w:val="Normalny186"/>
    <w:qFormat/>
    <w:pPr>
      <w:spacing w:after="200"/>
    </w:pPr>
  </w:style>
  <w:style w:type="character" w:customStyle="1" w:styleId="Domylnaczcionkaakapitu186">
    <w:name w:val="Domyślna czcionka akapitu186"/>
    <w:uiPriority w:val="1"/>
  </w:style>
  <w:style w:type="table" w:customStyle="1" w:styleId="Standardowy186">
    <w:name w:val="Standardowy186"/>
    <w:uiPriority w:val="99"/>
    <w:tblPr>
      <w:tblInd w:w="0" w:type="dxa"/>
      <w:tblCellMar>
        <w:top w:w="0" w:type="dxa"/>
        <w:left w:w="108" w:type="dxa"/>
        <w:bottom w:w="0" w:type="dxa"/>
        <w:right w:w="108" w:type="dxa"/>
      </w:tblCellMar>
    </w:tblPr>
  </w:style>
  <w:style w:type="numbering" w:customStyle="1" w:styleId="Bezlisty186">
    <w:name w:val="Bez listy186"/>
    <w:uiPriority w:val="99"/>
  </w:style>
  <w:style w:type="paragraph" w:customStyle="1" w:styleId="Normalny187">
    <w:name w:val="Normalny187"/>
    <w:qFormat/>
    <w:pPr>
      <w:spacing w:after="200"/>
    </w:pPr>
  </w:style>
  <w:style w:type="character" w:customStyle="1" w:styleId="Domylnaczcionkaakapitu187">
    <w:name w:val="Domyślna czcionka akapitu187"/>
    <w:uiPriority w:val="1"/>
  </w:style>
  <w:style w:type="table" w:customStyle="1" w:styleId="Standardowy187">
    <w:name w:val="Standardowy187"/>
    <w:uiPriority w:val="99"/>
    <w:tblPr>
      <w:tblInd w:w="0" w:type="dxa"/>
      <w:tblCellMar>
        <w:top w:w="0" w:type="dxa"/>
        <w:left w:w="108" w:type="dxa"/>
        <w:bottom w:w="0" w:type="dxa"/>
        <w:right w:w="108" w:type="dxa"/>
      </w:tblCellMar>
    </w:tblPr>
  </w:style>
  <w:style w:type="numbering" w:customStyle="1" w:styleId="Bezlisty187">
    <w:name w:val="Bez listy187"/>
    <w:uiPriority w:val="99"/>
  </w:style>
  <w:style w:type="paragraph" w:customStyle="1" w:styleId="Normalny188">
    <w:name w:val="Normalny188"/>
    <w:qFormat/>
    <w:pPr>
      <w:spacing w:after="200"/>
    </w:pPr>
  </w:style>
  <w:style w:type="character" w:customStyle="1" w:styleId="Domylnaczcionkaakapitu188">
    <w:name w:val="Domyślna czcionka akapitu188"/>
    <w:uiPriority w:val="1"/>
  </w:style>
  <w:style w:type="table" w:customStyle="1" w:styleId="Standardowy188">
    <w:name w:val="Standardowy188"/>
    <w:uiPriority w:val="99"/>
    <w:tblPr>
      <w:tblInd w:w="0" w:type="dxa"/>
      <w:tblCellMar>
        <w:top w:w="0" w:type="dxa"/>
        <w:left w:w="108" w:type="dxa"/>
        <w:bottom w:w="0" w:type="dxa"/>
        <w:right w:w="108" w:type="dxa"/>
      </w:tblCellMar>
    </w:tblPr>
  </w:style>
  <w:style w:type="numbering" w:customStyle="1" w:styleId="Bezlisty188">
    <w:name w:val="Bez listy188"/>
    <w:uiPriority w:val="99"/>
  </w:style>
  <w:style w:type="paragraph" w:customStyle="1" w:styleId="Normalny189">
    <w:name w:val="Normalny189"/>
    <w:qFormat/>
    <w:pPr>
      <w:spacing w:after="200"/>
    </w:pPr>
  </w:style>
  <w:style w:type="character" w:customStyle="1" w:styleId="Domylnaczcionkaakapitu189">
    <w:name w:val="Domyślna czcionka akapitu189"/>
    <w:uiPriority w:val="1"/>
  </w:style>
  <w:style w:type="table" w:customStyle="1" w:styleId="Standardowy189">
    <w:name w:val="Standardowy189"/>
    <w:uiPriority w:val="99"/>
    <w:tblPr>
      <w:tblInd w:w="0" w:type="dxa"/>
      <w:tblCellMar>
        <w:top w:w="0" w:type="dxa"/>
        <w:left w:w="108" w:type="dxa"/>
        <w:bottom w:w="0" w:type="dxa"/>
        <w:right w:w="108" w:type="dxa"/>
      </w:tblCellMar>
    </w:tblPr>
  </w:style>
  <w:style w:type="numbering" w:customStyle="1" w:styleId="Bezlisty189">
    <w:name w:val="Bez listy189"/>
    <w:uiPriority w:val="99"/>
  </w:style>
  <w:style w:type="paragraph" w:customStyle="1" w:styleId="Normalny190">
    <w:name w:val="Normalny190"/>
    <w:qFormat/>
    <w:pPr>
      <w:spacing w:after="200"/>
    </w:pPr>
  </w:style>
  <w:style w:type="character" w:customStyle="1" w:styleId="Domylnaczcionkaakapitu190">
    <w:name w:val="Domyślna czcionka akapitu190"/>
    <w:uiPriority w:val="1"/>
  </w:style>
  <w:style w:type="table" w:customStyle="1" w:styleId="Standardowy190">
    <w:name w:val="Standardowy190"/>
    <w:uiPriority w:val="99"/>
    <w:tblPr>
      <w:tblInd w:w="0" w:type="dxa"/>
      <w:tblCellMar>
        <w:top w:w="0" w:type="dxa"/>
        <w:left w:w="108" w:type="dxa"/>
        <w:bottom w:w="0" w:type="dxa"/>
        <w:right w:w="108" w:type="dxa"/>
      </w:tblCellMar>
    </w:tblPr>
  </w:style>
  <w:style w:type="numbering" w:customStyle="1" w:styleId="Bezlisty190">
    <w:name w:val="Bez listy190"/>
    <w:uiPriority w:val="99"/>
  </w:style>
  <w:style w:type="paragraph" w:customStyle="1" w:styleId="Normalny191">
    <w:name w:val="Normalny191"/>
    <w:qFormat/>
    <w:pPr>
      <w:spacing w:after="200"/>
    </w:pPr>
  </w:style>
  <w:style w:type="character" w:customStyle="1" w:styleId="Domylnaczcionkaakapitu191">
    <w:name w:val="Domyślna czcionka akapitu191"/>
    <w:uiPriority w:val="1"/>
  </w:style>
  <w:style w:type="table" w:customStyle="1" w:styleId="Standardowy191">
    <w:name w:val="Standardowy191"/>
    <w:uiPriority w:val="99"/>
    <w:tblPr>
      <w:tblInd w:w="0" w:type="dxa"/>
      <w:tblCellMar>
        <w:top w:w="0" w:type="dxa"/>
        <w:left w:w="108" w:type="dxa"/>
        <w:bottom w:w="0" w:type="dxa"/>
        <w:right w:w="108" w:type="dxa"/>
      </w:tblCellMar>
    </w:tblPr>
  </w:style>
  <w:style w:type="numbering" w:customStyle="1" w:styleId="Bezlisty191">
    <w:name w:val="Bez listy191"/>
    <w:uiPriority w:val="99"/>
  </w:style>
  <w:style w:type="paragraph" w:customStyle="1" w:styleId="Normalny192">
    <w:name w:val="Normalny192"/>
    <w:qFormat/>
    <w:pPr>
      <w:spacing w:after="200"/>
    </w:pPr>
  </w:style>
  <w:style w:type="character" w:customStyle="1" w:styleId="Domylnaczcionkaakapitu192">
    <w:name w:val="Domyślna czcionka akapitu192"/>
    <w:uiPriority w:val="1"/>
  </w:style>
  <w:style w:type="table" w:customStyle="1" w:styleId="Standardowy192">
    <w:name w:val="Standardowy192"/>
    <w:uiPriority w:val="99"/>
    <w:tblPr>
      <w:tblInd w:w="0" w:type="dxa"/>
      <w:tblCellMar>
        <w:top w:w="0" w:type="dxa"/>
        <w:left w:w="108" w:type="dxa"/>
        <w:bottom w:w="0" w:type="dxa"/>
        <w:right w:w="108" w:type="dxa"/>
      </w:tblCellMar>
    </w:tblPr>
  </w:style>
  <w:style w:type="numbering" w:customStyle="1" w:styleId="Bezlisty192">
    <w:name w:val="Bez listy192"/>
    <w:uiPriority w:val="99"/>
  </w:style>
  <w:style w:type="paragraph" w:customStyle="1" w:styleId="Normalny193">
    <w:name w:val="Normalny193"/>
    <w:qFormat/>
    <w:pPr>
      <w:spacing w:after="200"/>
    </w:pPr>
  </w:style>
  <w:style w:type="character" w:customStyle="1" w:styleId="Domylnaczcionkaakapitu193">
    <w:name w:val="Domyślna czcionka akapitu193"/>
    <w:uiPriority w:val="1"/>
  </w:style>
  <w:style w:type="table" w:customStyle="1" w:styleId="Standardowy193">
    <w:name w:val="Standardowy193"/>
    <w:uiPriority w:val="99"/>
    <w:tblPr>
      <w:tblInd w:w="0" w:type="dxa"/>
      <w:tblCellMar>
        <w:top w:w="0" w:type="dxa"/>
        <w:left w:w="108" w:type="dxa"/>
        <w:bottom w:w="0" w:type="dxa"/>
        <w:right w:w="108" w:type="dxa"/>
      </w:tblCellMar>
    </w:tblPr>
  </w:style>
  <w:style w:type="numbering" w:customStyle="1" w:styleId="Bezlisty193">
    <w:name w:val="Bez listy193"/>
    <w:uiPriority w:val="99"/>
  </w:style>
  <w:style w:type="paragraph" w:customStyle="1" w:styleId="Normalny194">
    <w:name w:val="Normalny194"/>
    <w:qFormat/>
    <w:pPr>
      <w:spacing w:after="200"/>
    </w:pPr>
  </w:style>
  <w:style w:type="character" w:customStyle="1" w:styleId="Domylnaczcionkaakapitu194">
    <w:name w:val="Domyślna czcionka akapitu194"/>
    <w:uiPriority w:val="1"/>
  </w:style>
  <w:style w:type="table" w:customStyle="1" w:styleId="Standardowy194">
    <w:name w:val="Standardowy194"/>
    <w:uiPriority w:val="99"/>
    <w:tblPr>
      <w:tblInd w:w="0" w:type="dxa"/>
      <w:tblCellMar>
        <w:top w:w="0" w:type="dxa"/>
        <w:left w:w="108" w:type="dxa"/>
        <w:bottom w:w="0" w:type="dxa"/>
        <w:right w:w="108" w:type="dxa"/>
      </w:tblCellMar>
    </w:tblPr>
  </w:style>
  <w:style w:type="numbering" w:customStyle="1" w:styleId="Bezlisty194">
    <w:name w:val="Bez listy194"/>
    <w:uiPriority w:val="99"/>
  </w:style>
  <w:style w:type="paragraph" w:customStyle="1" w:styleId="Normalny195">
    <w:name w:val="Normalny195"/>
    <w:qFormat/>
    <w:pPr>
      <w:spacing w:after="200"/>
    </w:pPr>
  </w:style>
  <w:style w:type="character" w:customStyle="1" w:styleId="Domylnaczcionkaakapitu195">
    <w:name w:val="Domyślna czcionka akapitu195"/>
    <w:uiPriority w:val="1"/>
  </w:style>
  <w:style w:type="table" w:customStyle="1" w:styleId="Standardowy195">
    <w:name w:val="Standardowy195"/>
    <w:uiPriority w:val="99"/>
    <w:tblPr>
      <w:tblInd w:w="0" w:type="dxa"/>
      <w:tblCellMar>
        <w:top w:w="0" w:type="dxa"/>
        <w:left w:w="108" w:type="dxa"/>
        <w:bottom w:w="0" w:type="dxa"/>
        <w:right w:w="108" w:type="dxa"/>
      </w:tblCellMar>
    </w:tblPr>
  </w:style>
  <w:style w:type="numbering" w:customStyle="1" w:styleId="Bezlisty195">
    <w:name w:val="Bez listy195"/>
    <w:uiPriority w:val="99"/>
  </w:style>
  <w:style w:type="paragraph" w:customStyle="1" w:styleId="Normalny196">
    <w:name w:val="Normalny196"/>
    <w:qFormat/>
    <w:pPr>
      <w:spacing w:after="200"/>
    </w:pPr>
  </w:style>
  <w:style w:type="character" w:customStyle="1" w:styleId="Domylnaczcionkaakapitu196">
    <w:name w:val="Domyślna czcionka akapitu196"/>
    <w:uiPriority w:val="1"/>
  </w:style>
  <w:style w:type="table" w:customStyle="1" w:styleId="Standardowy196">
    <w:name w:val="Standardowy196"/>
    <w:uiPriority w:val="99"/>
    <w:tblPr>
      <w:tblInd w:w="0" w:type="dxa"/>
      <w:tblCellMar>
        <w:top w:w="0" w:type="dxa"/>
        <w:left w:w="108" w:type="dxa"/>
        <w:bottom w:w="0" w:type="dxa"/>
        <w:right w:w="108" w:type="dxa"/>
      </w:tblCellMar>
    </w:tblPr>
  </w:style>
  <w:style w:type="numbering" w:customStyle="1" w:styleId="Bezlisty196">
    <w:name w:val="Bez listy196"/>
    <w:uiPriority w:val="99"/>
  </w:style>
  <w:style w:type="paragraph" w:customStyle="1" w:styleId="Normalny197">
    <w:name w:val="Normalny197"/>
    <w:qFormat/>
    <w:pPr>
      <w:spacing w:after="200"/>
    </w:pPr>
  </w:style>
  <w:style w:type="character" w:customStyle="1" w:styleId="Domylnaczcionkaakapitu197">
    <w:name w:val="Domyślna czcionka akapitu197"/>
    <w:uiPriority w:val="1"/>
  </w:style>
  <w:style w:type="table" w:customStyle="1" w:styleId="Standardowy197">
    <w:name w:val="Standardowy197"/>
    <w:uiPriority w:val="99"/>
    <w:tblPr>
      <w:tblInd w:w="0" w:type="dxa"/>
      <w:tblCellMar>
        <w:top w:w="0" w:type="dxa"/>
        <w:left w:w="108" w:type="dxa"/>
        <w:bottom w:w="0" w:type="dxa"/>
        <w:right w:w="108" w:type="dxa"/>
      </w:tblCellMar>
    </w:tblPr>
  </w:style>
  <w:style w:type="numbering" w:customStyle="1" w:styleId="Bezlisty197">
    <w:name w:val="Bez listy197"/>
    <w:uiPriority w:val="99"/>
  </w:style>
  <w:style w:type="paragraph" w:customStyle="1" w:styleId="Normalny198">
    <w:name w:val="Normalny198"/>
    <w:qFormat/>
    <w:pPr>
      <w:spacing w:after="200"/>
    </w:pPr>
  </w:style>
  <w:style w:type="character" w:customStyle="1" w:styleId="Domylnaczcionkaakapitu198">
    <w:name w:val="Domyślna czcionka akapitu198"/>
    <w:uiPriority w:val="1"/>
  </w:style>
  <w:style w:type="table" w:customStyle="1" w:styleId="Standardowy198">
    <w:name w:val="Standardowy198"/>
    <w:uiPriority w:val="99"/>
    <w:tblPr>
      <w:tblInd w:w="0" w:type="dxa"/>
      <w:tblCellMar>
        <w:top w:w="0" w:type="dxa"/>
        <w:left w:w="108" w:type="dxa"/>
        <w:bottom w:w="0" w:type="dxa"/>
        <w:right w:w="108" w:type="dxa"/>
      </w:tblCellMar>
    </w:tblPr>
  </w:style>
  <w:style w:type="numbering" w:customStyle="1" w:styleId="Bezlisty198">
    <w:name w:val="Bez listy198"/>
    <w:uiPriority w:val="99"/>
  </w:style>
  <w:style w:type="paragraph" w:customStyle="1" w:styleId="Normalny199">
    <w:name w:val="Normalny199"/>
    <w:qFormat/>
    <w:pPr>
      <w:spacing w:after="200"/>
    </w:pPr>
  </w:style>
  <w:style w:type="character" w:customStyle="1" w:styleId="Domylnaczcionkaakapitu199">
    <w:name w:val="Domyślna czcionka akapitu199"/>
    <w:uiPriority w:val="1"/>
  </w:style>
  <w:style w:type="table" w:customStyle="1" w:styleId="Standardowy199">
    <w:name w:val="Standardowy199"/>
    <w:uiPriority w:val="99"/>
    <w:tblPr>
      <w:tblInd w:w="0" w:type="dxa"/>
      <w:tblCellMar>
        <w:top w:w="0" w:type="dxa"/>
        <w:left w:w="108" w:type="dxa"/>
        <w:bottom w:w="0" w:type="dxa"/>
        <w:right w:w="108" w:type="dxa"/>
      </w:tblCellMar>
    </w:tblPr>
  </w:style>
  <w:style w:type="numbering" w:customStyle="1" w:styleId="Bezlisty199">
    <w:name w:val="Bez listy199"/>
    <w:uiPriority w:val="99"/>
  </w:style>
  <w:style w:type="paragraph" w:customStyle="1" w:styleId="Normalny200">
    <w:name w:val="Normalny200"/>
    <w:qFormat/>
    <w:pPr>
      <w:spacing w:after="200"/>
    </w:pPr>
  </w:style>
  <w:style w:type="character" w:customStyle="1" w:styleId="Domylnaczcionkaakapitu200">
    <w:name w:val="Domyślna czcionka akapitu200"/>
    <w:uiPriority w:val="1"/>
  </w:style>
  <w:style w:type="table" w:customStyle="1" w:styleId="Standardowy200">
    <w:name w:val="Standardowy200"/>
    <w:uiPriority w:val="99"/>
    <w:tblPr>
      <w:tblInd w:w="0" w:type="dxa"/>
      <w:tblCellMar>
        <w:top w:w="0" w:type="dxa"/>
        <w:left w:w="108" w:type="dxa"/>
        <w:bottom w:w="0" w:type="dxa"/>
        <w:right w:w="108" w:type="dxa"/>
      </w:tblCellMar>
    </w:tblPr>
  </w:style>
  <w:style w:type="numbering" w:customStyle="1" w:styleId="Bezlisty200">
    <w:name w:val="Bez listy200"/>
    <w:uiPriority w:val="99"/>
  </w:style>
  <w:style w:type="paragraph" w:customStyle="1" w:styleId="Normalny201">
    <w:name w:val="Normalny201"/>
    <w:qFormat/>
    <w:pPr>
      <w:spacing w:after="200"/>
    </w:pPr>
  </w:style>
  <w:style w:type="character" w:customStyle="1" w:styleId="Domylnaczcionkaakapitu201">
    <w:name w:val="Domyślna czcionka akapitu201"/>
    <w:uiPriority w:val="1"/>
  </w:style>
  <w:style w:type="table" w:customStyle="1" w:styleId="Standardowy201">
    <w:name w:val="Standardowy201"/>
    <w:uiPriority w:val="99"/>
    <w:tblPr>
      <w:tblInd w:w="0" w:type="dxa"/>
      <w:tblCellMar>
        <w:top w:w="0" w:type="dxa"/>
        <w:left w:w="108" w:type="dxa"/>
        <w:bottom w:w="0" w:type="dxa"/>
        <w:right w:w="108" w:type="dxa"/>
      </w:tblCellMar>
    </w:tblPr>
  </w:style>
  <w:style w:type="numbering" w:customStyle="1" w:styleId="Bezlisty201">
    <w:name w:val="Bez listy201"/>
    <w:uiPriority w:val="99"/>
  </w:style>
  <w:style w:type="paragraph" w:customStyle="1" w:styleId="Normalny202">
    <w:name w:val="Normalny202"/>
    <w:qFormat/>
    <w:pPr>
      <w:spacing w:after="200"/>
    </w:pPr>
  </w:style>
  <w:style w:type="character" w:customStyle="1" w:styleId="Domylnaczcionkaakapitu202">
    <w:name w:val="Domyślna czcionka akapitu202"/>
    <w:uiPriority w:val="1"/>
  </w:style>
  <w:style w:type="table" w:customStyle="1" w:styleId="Standardowy202">
    <w:name w:val="Standardowy202"/>
    <w:uiPriority w:val="99"/>
    <w:tblPr>
      <w:tblInd w:w="0" w:type="dxa"/>
      <w:tblCellMar>
        <w:top w:w="0" w:type="dxa"/>
        <w:left w:w="108" w:type="dxa"/>
        <w:bottom w:w="0" w:type="dxa"/>
        <w:right w:w="108" w:type="dxa"/>
      </w:tblCellMar>
    </w:tblPr>
  </w:style>
  <w:style w:type="numbering" w:customStyle="1" w:styleId="Bezlisty202">
    <w:name w:val="Bez listy202"/>
    <w:uiPriority w:val="99"/>
  </w:style>
  <w:style w:type="paragraph" w:customStyle="1" w:styleId="Normalny203">
    <w:name w:val="Normalny203"/>
    <w:qFormat/>
    <w:pPr>
      <w:spacing w:after="200"/>
    </w:pPr>
  </w:style>
  <w:style w:type="character" w:customStyle="1" w:styleId="Domylnaczcionkaakapitu203">
    <w:name w:val="Domyślna czcionka akapitu203"/>
    <w:uiPriority w:val="1"/>
  </w:style>
  <w:style w:type="table" w:customStyle="1" w:styleId="Standardowy203">
    <w:name w:val="Standardowy203"/>
    <w:uiPriority w:val="99"/>
    <w:tblPr>
      <w:tblInd w:w="0" w:type="dxa"/>
      <w:tblCellMar>
        <w:top w:w="0" w:type="dxa"/>
        <w:left w:w="108" w:type="dxa"/>
        <w:bottom w:w="0" w:type="dxa"/>
        <w:right w:w="108" w:type="dxa"/>
      </w:tblCellMar>
    </w:tblPr>
  </w:style>
  <w:style w:type="numbering" w:customStyle="1" w:styleId="Bezlisty203">
    <w:name w:val="Bez listy203"/>
    <w:uiPriority w:val="99"/>
  </w:style>
  <w:style w:type="paragraph" w:customStyle="1" w:styleId="Normalny204">
    <w:name w:val="Normalny204"/>
    <w:qFormat/>
    <w:pPr>
      <w:spacing w:after="200"/>
    </w:pPr>
  </w:style>
  <w:style w:type="character" w:customStyle="1" w:styleId="Domylnaczcionkaakapitu204">
    <w:name w:val="Domyślna czcionka akapitu204"/>
    <w:uiPriority w:val="1"/>
  </w:style>
  <w:style w:type="table" w:customStyle="1" w:styleId="Standardowy204">
    <w:name w:val="Standardowy204"/>
    <w:uiPriority w:val="99"/>
    <w:tblPr>
      <w:tblInd w:w="0" w:type="dxa"/>
      <w:tblCellMar>
        <w:top w:w="0" w:type="dxa"/>
        <w:left w:w="108" w:type="dxa"/>
        <w:bottom w:w="0" w:type="dxa"/>
        <w:right w:w="108" w:type="dxa"/>
      </w:tblCellMar>
    </w:tblPr>
  </w:style>
  <w:style w:type="numbering" w:customStyle="1" w:styleId="Bezlisty204">
    <w:name w:val="Bez listy204"/>
    <w:uiPriority w:val="99"/>
  </w:style>
  <w:style w:type="paragraph" w:customStyle="1" w:styleId="Normalny205">
    <w:name w:val="Normalny205"/>
    <w:qFormat/>
    <w:pPr>
      <w:spacing w:after="200"/>
    </w:pPr>
  </w:style>
  <w:style w:type="character" w:customStyle="1" w:styleId="Domylnaczcionkaakapitu205">
    <w:name w:val="Domyślna czcionka akapitu205"/>
    <w:uiPriority w:val="1"/>
  </w:style>
  <w:style w:type="table" w:customStyle="1" w:styleId="Standardowy205">
    <w:name w:val="Standardowy205"/>
    <w:uiPriority w:val="99"/>
    <w:tblPr>
      <w:tblInd w:w="0" w:type="dxa"/>
      <w:tblCellMar>
        <w:top w:w="0" w:type="dxa"/>
        <w:left w:w="108" w:type="dxa"/>
        <w:bottom w:w="0" w:type="dxa"/>
        <w:right w:w="108" w:type="dxa"/>
      </w:tblCellMar>
    </w:tblPr>
  </w:style>
  <w:style w:type="numbering" w:customStyle="1" w:styleId="Bezlisty205">
    <w:name w:val="Bez listy205"/>
    <w:uiPriority w:val="99"/>
  </w:style>
  <w:style w:type="paragraph" w:customStyle="1" w:styleId="Normalny206">
    <w:name w:val="Normalny206"/>
    <w:qFormat/>
    <w:pPr>
      <w:spacing w:after="200"/>
    </w:pPr>
  </w:style>
  <w:style w:type="character" w:customStyle="1" w:styleId="Domylnaczcionkaakapitu206">
    <w:name w:val="Domyślna czcionka akapitu206"/>
    <w:uiPriority w:val="1"/>
  </w:style>
  <w:style w:type="table" w:customStyle="1" w:styleId="Standardowy206">
    <w:name w:val="Standardowy206"/>
    <w:uiPriority w:val="99"/>
    <w:tblPr>
      <w:tblInd w:w="0" w:type="dxa"/>
      <w:tblCellMar>
        <w:top w:w="0" w:type="dxa"/>
        <w:left w:w="108" w:type="dxa"/>
        <w:bottom w:w="0" w:type="dxa"/>
        <w:right w:w="108" w:type="dxa"/>
      </w:tblCellMar>
    </w:tblPr>
  </w:style>
  <w:style w:type="numbering" w:customStyle="1" w:styleId="Bezlisty206">
    <w:name w:val="Bez listy206"/>
    <w:uiPriority w:val="99"/>
  </w:style>
  <w:style w:type="paragraph" w:customStyle="1" w:styleId="Normalny207">
    <w:name w:val="Normalny207"/>
    <w:qFormat/>
    <w:pPr>
      <w:spacing w:after="200"/>
    </w:pPr>
  </w:style>
  <w:style w:type="character" w:customStyle="1" w:styleId="Domylnaczcionkaakapitu207">
    <w:name w:val="Domyślna czcionka akapitu207"/>
    <w:uiPriority w:val="1"/>
  </w:style>
  <w:style w:type="table" w:customStyle="1" w:styleId="Standardowy207">
    <w:name w:val="Standardowy207"/>
    <w:uiPriority w:val="99"/>
    <w:tblPr>
      <w:tblInd w:w="0" w:type="dxa"/>
      <w:tblCellMar>
        <w:top w:w="0" w:type="dxa"/>
        <w:left w:w="108" w:type="dxa"/>
        <w:bottom w:w="0" w:type="dxa"/>
        <w:right w:w="108" w:type="dxa"/>
      </w:tblCellMar>
    </w:tblPr>
  </w:style>
  <w:style w:type="numbering" w:customStyle="1" w:styleId="Bezlisty207">
    <w:name w:val="Bez listy207"/>
    <w:uiPriority w:val="99"/>
  </w:style>
  <w:style w:type="paragraph" w:customStyle="1" w:styleId="Normalny208">
    <w:name w:val="Normalny208"/>
    <w:qFormat/>
    <w:pPr>
      <w:spacing w:after="200"/>
    </w:pPr>
  </w:style>
  <w:style w:type="character" w:customStyle="1" w:styleId="Domylnaczcionkaakapitu208">
    <w:name w:val="Domyślna czcionka akapitu208"/>
    <w:uiPriority w:val="1"/>
  </w:style>
  <w:style w:type="table" w:customStyle="1" w:styleId="Standardowy208">
    <w:name w:val="Standardowy208"/>
    <w:uiPriority w:val="99"/>
    <w:tblPr>
      <w:tblInd w:w="0" w:type="dxa"/>
      <w:tblCellMar>
        <w:top w:w="0" w:type="dxa"/>
        <w:left w:w="108" w:type="dxa"/>
        <w:bottom w:w="0" w:type="dxa"/>
        <w:right w:w="108" w:type="dxa"/>
      </w:tblCellMar>
    </w:tblPr>
  </w:style>
  <w:style w:type="numbering" w:customStyle="1" w:styleId="Bezlisty208">
    <w:name w:val="Bez listy208"/>
    <w:uiPriority w:val="99"/>
  </w:style>
  <w:style w:type="paragraph" w:customStyle="1" w:styleId="Normalny209">
    <w:name w:val="Normalny209"/>
    <w:qFormat/>
    <w:pPr>
      <w:spacing w:after="200"/>
    </w:pPr>
  </w:style>
  <w:style w:type="character" w:customStyle="1" w:styleId="Domylnaczcionkaakapitu209">
    <w:name w:val="Domyślna czcionka akapitu209"/>
    <w:uiPriority w:val="1"/>
  </w:style>
  <w:style w:type="table" w:customStyle="1" w:styleId="Standardowy209">
    <w:name w:val="Standardowy209"/>
    <w:uiPriority w:val="99"/>
    <w:tblPr>
      <w:tblInd w:w="0" w:type="dxa"/>
      <w:tblCellMar>
        <w:top w:w="0" w:type="dxa"/>
        <w:left w:w="108" w:type="dxa"/>
        <w:bottom w:w="0" w:type="dxa"/>
        <w:right w:w="108" w:type="dxa"/>
      </w:tblCellMar>
    </w:tblPr>
  </w:style>
  <w:style w:type="numbering" w:customStyle="1" w:styleId="Bezlisty209">
    <w:name w:val="Bez listy209"/>
    <w:uiPriority w:val="99"/>
  </w:style>
  <w:style w:type="paragraph" w:customStyle="1" w:styleId="Normalny210">
    <w:name w:val="Normalny210"/>
    <w:qFormat/>
    <w:pPr>
      <w:spacing w:after="200"/>
    </w:pPr>
  </w:style>
  <w:style w:type="character" w:customStyle="1" w:styleId="Domylnaczcionkaakapitu210">
    <w:name w:val="Domyślna czcionka akapitu210"/>
    <w:uiPriority w:val="1"/>
  </w:style>
  <w:style w:type="table" w:customStyle="1" w:styleId="Standardowy210">
    <w:name w:val="Standardowy210"/>
    <w:uiPriority w:val="99"/>
    <w:tblPr>
      <w:tblInd w:w="0" w:type="dxa"/>
      <w:tblCellMar>
        <w:top w:w="0" w:type="dxa"/>
        <w:left w:w="108" w:type="dxa"/>
        <w:bottom w:w="0" w:type="dxa"/>
        <w:right w:w="108" w:type="dxa"/>
      </w:tblCellMar>
    </w:tblPr>
  </w:style>
  <w:style w:type="numbering" w:customStyle="1" w:styleId="Bezlisty210">
    <w:name w:val="Bez listy210"/>
    <w:uiPriority w:val="99"/>
  </w:style>
  <w:style w:type="paragraph" w:customStyle="1" w:styleId="Normalny211">
    <w:name w:val="Normalny211"/>
    <w:qFormat/>
    <w:pPr>
      <w:spacing w:after="200"/>
    </w:pPr>
  </w:style>
  <w:style w:type="character" w:customStyle="1" w:styleId="Domylnaczcionkaakapitu211">
    <w:name w:val="Domyślna czcionka akapitu211"/>
    <w:uiPriority w:val="1"/>
  </w:style>
  <w:style w:type="table" w:customStyle="1" w:styleId="Standardowy211">
    <w:name w:val="Standardowy211"/>
    <w:uiPriority w:val="99"/>
    <w:tblPr>
      <w:tblInd w:w="0" w:type="dxa"/>
      <w:tblCellMar>
        <w:top w:w="0" w:type="dxa"/>
        <w:left w:w="108" w:type="dxa"/>
        <w:bottom w:w="0" w:type="dxa"/>
        <w:right w:w="108" w:type="dxa"/>
      </w:tblCellMar>
    </w:tblPr>
  </w:style>
  <w:style w:type="numbering" w:customStyle="1" w:styleId="Bezlisty211">
    <w:name w:val="Bez listy211"/>
    <w:uiPriority w:val="99"/>
  </w:style>
  <w:style w:type="paragraph" w:customStyle="1" w:styleId="Normalny212">
    <w:name w:val="Normalny212"/>
    <w:qFormat/>
    <w:pPr>
      <w:spacing w:after="200"/>
    </w:pPr>
  </w:style>
  <w:style w:type="character" w:customStyle="1" w:styleId="Domylnaczcionkaakapitu212">
    <w:name w:val="Domyślna czcionka akapitu212"/>
    <w:uiPriority w:val="1"/>
  </w:style>
  <w:style w:type="table" w:customStyle="1" w:styleId="Standardowy212">
    <w:name w:val="Standardowy212"/>
    <w:uiPriority w:val="99"/>
    <w:tblPr>
      <w:tblInd w:w="0" w:type="dxa"/>
      <w:tblCellMar>
        <w:top w:w="0" w:type="dxa"/>
        <w:left w:w="108" w:type="dxa"/>
        <w:bottom w:w="0" w:type="dxa"/>
        <w:right w:w="108" w:type="dxa"/>
      </w:tblCellMar>
    </w:tblPr>
  </w:style>
  <w:style w:type="numbering" w:customStyle="1" w:styleId="Bezlisty212">
    <w:name w:val="Bez listy212"/>
    <w:uiPriority w:val="99"/>
  </w:style>
  <w:style w:type="paragraph" w:customStyle="1" w:styleId="Normalny213">
    <w:name w:val="Normalny213"/>
    <w:qFormat/>
    <w:pPr>
      <w:spacing w:after="200"/>
    </w:pPr>
  </w:style>
  <w:style w:type="character" w:customStyle="1" w:styleId="Domylnaczcionkaakapitu213">
    <w:name w:val="Domyślna czcionka akapitu213"/>
    <w:uiPriority w:val="1"/>
  </w:style>
  <w:style w:type="table" w:customStyle="1" w:styleId="Standardowy213">
    <w:name w:val="Standardowy213"/>
    <w:uiPriority w:val="99"/>
    <w:tblPr>
      <w:tblInd w:w="0" w:type="dxa"/>
      <w:tblCellMar>
        <w:top w:w="0" w:type="dxa"/>
        <w:left w:w="108" w:type="dxa"/>
        <w:bottom w:w="0" w:type="dxa"/>
        <w:right w:w="108" w:type="dxa"/>
      </w:tblCellMar>
    </w:tblPr>
  </w:style>
  <w:style w:type="numbering" w:customStyle="1" w:styleId="Bezlisty213">
    <w:name w:val="Bez listy213"/>
    <w:uiPriority w:val="99"/>
  </w:style>
  <w:style w:type="paragraph" w:customStyle="1" w:styleId="Normalny214">
    <w:name w:val="Normalny214"/>
    <w:qFormat/>
    <w:pPr>
      <w:spacing w:after="200"/>
    </w:pPr>
  </w:style>
  <w:style w:type="character" w:customStyle="1" w:styleId="Domylnaczcionkaakapitu214">
    <w:name w:val="Domyślna czcionka akapitu214"/>
    <w:uiPriority w:val="1"/>
  </w:style>
  <w:style w:type="table" w:customStyle="1" w:styleId="Standardowy214">
    <w:name w:val="Standardowy214"/>
    <w:uiPriority w:val="99"/>
    <w:tblPr>
      <w:tblInd w:w="0" w:type="dxa"/>
      <w:tblCellMar>
        <w:top w:w="0" w:type="dxa"/>
        <w:left w:w="108" w:type="dxa"/>
        <w:bottom w:w="0" w:type="dxa"/>
        <w:right w:w="108" w:type="dxa"/>
      </w:tblCellMar>
    </w:tblPr>
  </w:style>
  <w:style w:type="numbering" w:customStyle="1" w:styleId="Bezlisty214">
    <w:name w:val="Bez listy214"/>
    <w:uiPriority w:val="99"/>
  </w:style>
  <w:style w:type="paragraph" w:customStyle="1" w:styleId="Normalny215">
    <w:name w:val="Normalny215"/>
    <w:qFormat/>
    <w:pPr>
      <w:spacing w:after="200"/>
    </w:pPr>
  </w:style>
  <w:style w:type="character" w:customStyle="1" w:styleId="Domylnaczcionkaakapitu215">
    <w:name w:val="Domyślna czcionka akapitu215"/>
    <w:uiPriority w:val="1"/>
  </w:style>
  <w:style w:type="table" w:customStyle="1" w:styleId="Standardowy215">
    <w:name w:val="Standardowy215"/>
    <w:uiPriority w:val="99"/>
    <w:tblPr>
      <w:tblInd w:w="0" w:type="dxa"/>
      <w:tblCellMar>
        <w:top w:w="0" w:type="dxa"/>
        <w:left w:w="108" w:type="dxa"/>
        <w:bottom w:w="0" w:type="dxa"/>
        <w:right w:w="108" w:type="dxa"/>
      </w:tblCellMar>
    </w:tblPr>
  </w:style>
  <w:style w:type="numbering" w:customStyle="1" w:styleId="Bezlisty215">
    <w:name w:val="Bez listy215"/>
    <w:uiPriority w:val="99"/>
  </w:style>
  <w:style w:type="paragraph" w:customStyle="1" w:styleId="Normalny216">
    <w:name w:val="Normalny216"/>
    <w:qFormat/>
    <w:pPr>
      <w:spacing w:after="200"/>
    </w:pPr>
  </w:style>
  <w:style w:type="character" w:customStyle="1" w:styleId="Domylnaczcionkaakapitu216">
    <w:name w:val="Domyślna czcionka akapitu216"/>
    <w:uiPriority w:val="1"/>
  </w:style>
  <w:style w:type="table" w:customStyle="1" w:styleId="Standardowy216">
    <w:name w:val="Standardowy216"/>
    <w:uiPriority w:val="99"/>
    <w:tblPr>
      <w:tblInd w:w="0" w:type="dxa"/>
      <w:tblCellMar>
        <w:top w:w="0" w:type="dxa"/>
        <w:left w:w="108" w:type="dxa"/>
        <w:bottom w:w="0" w:type="dxa"/>
        <w:right w:w="108" w:type="dxa"/>
      </w:tblCellMar>
    </w:tblPr>
  </w:style>
  <w:style w:type="numbering" w:customStyle="1" w:styleId="Bezlisty216">
    <w:name w:val="Bez listy216"/>
    <w:uiPriority w:val="99"/>
  </w:style>
  <w:style w:type="paragraph" w:customStyle="1" w:styleId="Normalny217">
    <w:name w:val="Normalny217"/>
    <w:qFormat/>
    <w:pPr>
      <w:spacing w:after="200"/>
    </w:pPr>
  </w:style>
  <w:style w:type="character" w:customStyle="1" w:styleId="Domylnaczcionkaakapitu217">
    <w:name w:val="Domyślna czcionka akapitu217"/>
    <w:uiPriority w:val="1"/>
  </w:style>
  <w:style w:type="table" w:customStyle="1" w:styleId="Standardowy217">
    <w:name w:val="Standardowy217"/>
    <w:uiPriority w:val="99"/>
    <w:tblPr>
      <w:tblInd w:w="0" w:type="dxa"/>
      <w:tblCellMar>
        <w:top w:w="0" w:type="dxa"/>
        <w:left w:w="108" w:type="dxa"/>
        <w:bottom w:w="0" w:type="dxa"/>
        <w:right w:w="108" w:type="dxa"/>
      </w:tblCellMar>
    </w:tblPr>
  </w:style>
  <w:style w:type="numbering" w:customStyle="1" w:styleId="Bezlisty217">
    <w:name w:val="Bez listy217"/>
    <w:uiPriority w:val="99"/>
  </w:style>
  <w:style w:type="paragraph" w:customStyle="1" w:styleId="Normalny218">
    <w:name w:val="Normalny218"/>
    <w:qFormat/>
    <w:pPr>
      <w:spacing w:after="200"/>
    </w:pPr>
  </w:style>
  <w:style w:type="character" w:customStyle="1" w:styleId="Domylnaczcionkaakapitu218">
    <w:name w:val="Domyślna czcionka akapitu218"/>
    <w:uiPriority w:val="1"/>
  </w:style>
  <w:style w:type="table" w:customStyle="1" w:styleId="Standardowy218">
    <w:name w:val="Standardowy218"/>
    <w:uiPriority w:val="99"/>
    <w:tblPr>
      <w:tblInd w:w="0" w:type="dxa"/>
      <w:tblCellMar>
        <w:top w:w="0" w:type="dxa"/>
        <w:left w:w="108" w:type="dxa"/>
        <w:bottom w:w="0" w:type="dxa"/>
        <w:right w:w="108" w:type="dxa"/>
      </w:tblCellMar>
    </w:tblPr>
  </w:style>
  <w:style w:type="numbering" w:customStyle="1" w:styleId="Bezlisty218">
    <w:name w:val="Bez listy218"/>
    <w:uiPriority w:val="99"/>
  </w:style>
  <w:style w:type="paragraph" w:customStyle="1" w:styleId="Normalny219">
    <w:name w:val="Normalny219"/>
    <w:qFormat/>
    <w:pPr>
      <w:spacing w:after="200"/>
    </w:pPr>
  </w:style>
  <w:style w:type="character" w:customStyle="1" w:styleId="Domylnaczcionkaakapitu219">
    <w:name w:val="Domyślna czcionka akapitu219"/>
    <w:uiPriority w:val="1"/>
  </w:style>
  <w:style w:type="table" w:customStyle="1" w:styleId="Standardowy219">
    <w:name w:val="Standardowy219"/>
    <w:uiPriority w:val="99"/>
    <w:tblPr>
      <w:tblInd w:w="0" w:type="dxa"/>
      <w:tblCellMar>
        <w:top w:w="0" w:type="dxa"/>
        <w:left w:w="108" w:type="dxa"/>
        <w:bottom w:w="0" w:type="dxa"/>
        <w:right w:w="108" w:type="dxa"/>
      </w:tblCellMar>
    </w:tblPr>
  </w:style>
  <w:style w:type="numbering" w:customStyle="1" w:styleId="Bezlisty219">
    <w:name w:val="Bez listy219"/>
    <w:uiPriority w:val="99"/>
  </w:style>
  <w:style w:type="paragraph" w:customStyle="1" w:styleId="Normalny220">
    <w:name w:val="Normalny220"/>
    <w:qFormat/>
    <w:pPr>
      <w:spacing w:after="200"/>
    </w:pPr>
  </w:style>
  <w:style w:type="character" w:customStyle="1" w:styleId="Domylnaczcionkaakapitu220">
    <w:name w:val="Domyślna czcionka akapitu220"/>
    <w:uiPriority w:val="1"/>
  </w:style>
  <w:style w:type="table" w:customStyle="1" w:styleId="Standardowy220">
    <w:name w:val="Standardowy220"/>
    <w:uiPriority w:val="99"/>
    <w:tblPr>
      <w:tblInd w:w="0" w:type="dxa"/>
      <w:tblCellMar>
        <w:top w:w="0" w:type="dxa"/>
        <w:left w:w="108" w:type="dxa"/>
        <w:bottom w:w="0" w:type="dxa"/>
        <w:right w:w="108" w:type="dxa"/>
      </w:tblCellMar>
    </w:tblPr>
  </w:style>
  <w:style w:type="numbering" w:customStyle="1" w:styleId="Bezlisty220">
    <w:name w:val="Bez listy220"/>
    <w:uiPriority w:val="99"/>
  </w:style>
  <w:style w:type="paragraph" w:customStyle="1" w:styleId="Normalny221">
    <w:name w:val="Normalny221"/>
    <w:qFormat/>
    <w:pPr>
      <w:spacing w:after="200"/>
    </w:pPr>
  </w:style>
  <w:style w:type="character" w:customStyle="1" w:styleId="Domylnaczcionkaakapitu221">
    <w:name w:val="Domyślna czcionka akapitu221"/>
    <w:uiPriority w:val="1"/>
  </w:style>
  <w:style w:type="table" w:customStyle="1" w:styleId="Standardowy221">
    <w:name w:val="Standardowy221"/>
    <w:uiPriority w:val="99"/>
    <w:tblPr>
      <w:tblInd w:w="0" w:type="dxa"/>
      <w:tblCellMar>
        <w:top w:w="0" w:type="dxa"/>
        <w:left w:w="108" w:type="dxa"/>
        <w:bottom w:w="0" w:type="dxa"/>
        <w:right w:w="108" w:type="dxa"/>
      </w:tblCellMar>
    </w:tblPr>
  </w:style>
  <w:style w:type="numbering" w:customStyle="1" w:styleId="Bezlisty221">
    <w:name w:val="Bez listy221"/>
    <w:uiPriority w:val="99"/>
  </w:style>
  <w:style w:type="paragraph" w:customStyle="1" w:styleId="Normalny222">
    <w:name w:val="Normalny222"/>
    <w:qFormat/>
    <w:pPr>
      <w:spacing w:after="200"/>
    </w:pPr>
  </w:style>
  <w:style w:type="character" w:customStyle="1" w:styleId="Domylnaczcionkaakapitu222">
    <w:name w:val="Domyślna czcionka akapitu222"/>
    <w:uiPriority w:val="1"/>
  </w:style>
  <w:style w:type="table" w:customStyle="1" w:styleId="Standardowy222">
    <w:name w:val="Standardowy222"/>
    <w:uiPriority w:val="99"/>
    <w:tblPr>
      <w:tblInd w:w="0" w:type="dxa"/>
      <w:tblCellMar>
        <w:top w:w="0" w:type="dxa"/>
        <w:left w:w="108" w:type="dxa"/>
        <w:bottom w:w="0" w:type="dxa"/>
        <w:right w:w="108" w:type="dxa"/>
      </w:tblCellMar>
    </w:tblPr>
  </w:style>
  <w:style w:type="numbering" w:customStyle="1" w:styleId="Bezlisty222">
    <w:name w:val="Bez listy222"/>
    <w:uiPriority w:val="99"/>
  </w:style>
  <w:style w:type="paragraph" w:customStyle="1" w:styleId="Normalny223">
    <w:name w:val="Normalny223"/>
    <w:qFormat/>
    <w:pPr>
      <w:spacing w:after="200"/>
    </w:pPr>
  </w:style>
  <w:style w:type="character" w:customStyle="1" w:styleId="Domylnaczcionkaakapitu223">
    <w:name w:val="Domyślna czcionka akapitu223"/>
    <w:uiPriority w:val="1"/>
  </w:style>
  <w:style w:type="table" w:customStyle="1" w:styleId="Standardowy223">
    <w:name w:val="Standardowy223"/>
    <w:uiPriority w:val="99"/>
    <w:tblPr>
      <w:tblInd w:w="0" w:type="dxa"/>
      <w:tblCellMar>
        <w:top w:w="0" w:type="dxa"/>
        <w:left w:w="108" w:type="dxa"/>
        <w:bottom w:w="0" w:type="dxa"/>
        <w:right w:w="108" w:type="dxa"/>
      </w:tblCellMar>
    </w:tblPr>
  </w:style>
  <w:style w:type="numbering" w:customStyle="1" w:styleId="Bezlisty223">
    <w:name w:val="Bez listy223"/>
    <w:uiPriority w:val="99"/>
  </w:style>
  <w:style w:type="paragraph" w:customStyle="1" w:styleId="Normalny224">
    <w:name w:val="Normalny224"/>
    <w:qFormat/>
    <w:pPr>
      <w:spacing w:after="200"/>
    </w:pPr>
  </w:style>
  <w:style w:type="character" w:customStyle="1" w:styleId="Domylnaczcionkaakapitu224">
    <w:name w:val="Domyślna czcionka akapitu224"/>
    <w:uiPriority w:val="1"/>
  </w:style>
  <w:style w:type="table" w:customStyle="1" w:styleId="Standardowy224">
    <w:name w:val="Standardowy224"/>
    <w:uiPriority w:val="99"/>
    <w:tblPr>
      <w:tblInd w:w="0" w:type="dxa"/>
      <w:tblCellMar>
        <w:top w:w="0" w:type="dxa"/>
        <w:left w:w="108" w:type="dxa"/>
        <w:bottom w:w="0" w:type="dxa"/>
        <w:right w:w="108" w:type="dxa"/>
      </w:tblCellMar>
    </w:tblPr>
  </w:style>
  <w:style w:type="numbering" w:customStyle="1" w:styleId="Bezlisty224">
    <w:name w:val="Bez listy224"/>
    <w:uiPriority w:val="99"/>
  </w:style>
  <w:style w:type="paragraph" w:customStyle="1" w:styleId="Normalny225">
    <w:name w:val="Normalny225"/>
    <w:qFormat/>
    <w:pPr>
      <w:spacing w:after="200"/>
    </w:pPr>
  </w:style>
  <w:style w:type="character" w:customStyle="1" w:styleId="Domylnaczcionkaakapitu225">
    <w:name w:val="Domyślna czcionka akapitu225"/>
    <w:uiPriority w:val="1"/>
  </w:style>
  <w:style w:type="table" w:customStyle="1" w:styleId="Standardowy225">
    <w:name w:val="Standardowy225"/>
    <w:uiPriority w:val="99"/>
    <w:tblPr>
      <w:tblInd w:w="0" w:type="dxa"/>
      <w:tblCellMar>
        <w:top w:w="0" w:type="dxa"/>
        <w:left w:w="108" w:type="dxa"/>
        <w:bottom w:w="0" w:type="dxa"/>
        <w:right w:w="108" w:type="dxa"/>
      </w:tblCellMar>
    </w:tblPr>
  </w:style>
  <w:style w:type="numbering" w:customStyle="1" w:styleId="Bezlisty225">
    <w:name w:val="Bez listy225"/>
    <w:uiPriority w:val="99"/>
  </w:style>
  <w:style w:type="paragraph" w:customStyle="1" w:styleId="Normalny226">
    <w:name w:val="Normalny226"/>
    <w:qFormat/>
    <w:pPr>
      <w:spacing w:after="200"/>
    </w:pPr>
  </w:style>
  <w:style w:type="character" w:customStyle="1" w:styleId="Domylnaczcionkaakapitu226">
    <w:name w:val="Domyślna czcionka akapitu226"/>
    <w:uiPriority w:val="1"/>
  </w:style>
  <w:style w:type="table" w:customStyle="1" w:styleId="Standardowy226">
    <w:name w:val="Standardowy226"/>
    <w:uiPriority w:val="99"/>
    <w:tblPr>
      <w:tblInd w:w="0" w:type="dxa"/>
      <w:tblCellMar>
        <w:top w:w="0" w:type="dxa"/>
        <w:left w:w="108" w:type="dxa"/>
        <w:bottom w:w="0" w:type="dxa"/>
        <w:right w:w="108" w:type="dxa"/>
      </w:tblCellMar>
    </w:tblPr>
  </w:style>
  <w:style w:type="numbering" w:customStyle="1" w:styleId="Bezlisty226">
    <w:name w:val="Bez listy226"/>
    <w:uiPriority w:val="99"/>
  </w:style>
  <w:style w:type="paragraph" w:customStyle="1" w:styleId="Normalny227">
    <w:name w:val="Normalny227"/>
    <w:qFormat/>
    <w:pPr>
      <w:spacing w:after="200"/>
    </w:pPr>
  </w:style>
  <w:style w:type="character" w:customStyle="1" w:styleId="Domylnaczcionkaakapitu227">
    <w:name w:val="Domyślna czcionka akapitu227"/>
    <w:uiPriority w:val="1"/>
  </w:style>
  <w:style w:type="table" w:customStyle="1" w:styleId="Standardowy227">
    <w:name w:val="Standardowy227"/>
    <w:uiPriority w:val="99"/>
    <w:tblPr>
      <w:tblInd w:w="0" w:type="dxa"/>
      <w:tblCellMar>
        <w:top w:w="0" w:type="dxa"/>
        <w:left w:w="108" w:type="dxa"/>
        <w:bottom w:w="0" w:type="dxa"/>
        <w:right w:w="108" w:type="dxa"/>
      </w:tblCellMar>
    </w:tblPr>
  </w:style>
  <w:style w:type="numbering" w:customStyle="1" w:styleId="Bezlisty227">
    <w:name w:val="Bez listy227"/>
    <w:uiPriority w:val="99"/>
  </w:style>
  <w:style w:type="paragraph" w:customStyle="1" w:styleId="Normalny228">
    <w:name w:val="Normalny228"/>
    <w:qFormat/>
    <w:pPr>
      <w:spacing w:after="200"/>
    </w:pPr>
  </w:style>
  <w:style w:type="character" w:customStyle="1" w:styleId="Domylnaczcionkaakapitu228">
    <w:name w:val="Domyślna czcionka akapitu228"/>
    <w:uiPriority w:val="1"/>
  </w:style>
  <w:style w:type="table" w:customStyle="1" w:styleId="Standardowy228">
    <w:name w:val="Standardowy228"/>
    <w:uiPriority w:val="99"/>
    <w:tblPr>
      <w:tblInd w:w="0" w:type="dxa"/>
      <w:tblCellMar>
        <w:top w:w="0" w:type="dxa"/>
        <w:left w:w="108" w:type="dxa"/>
        <w:bottom w:w="0" w:type="dxa"/>
        <w:right w:w="108" w:type="dxa"/>
      </w:tblCellMar>
    </w:tblPr>
  </w:style>
  <w:style w:type="numbering" w:customStyle="1" w:styleId="Bezlisty228">
    <w:name w:val="Bez listy228"/>
    <w:uiPriority w:val="99"/>
  </w:style>
  <w:style w:type="paragraph" w:customStyle="1" w:styleId="Normalny229">
    <w:name w:val="Normalny229"/>
    <w:qFormat/>
    <w:pPr>
      <w:spacing w:after="200"/>
    </w:pPr>
  </w:style>
  <w:style w:type="character" w:customStyle="1" w:styleId="Domylnaczcionkaakapitu229">
    <w:name w:val="Domyślna czcionka akapitu229"/>
    <w:uiPriority w:val="1"/>
  </w:style>
  <w:style w:type="table" w:customStyle="1" w:styleId="Standardowy229">
    <w:name w:val="Standardowy229"/>
    <w:uiPriority w:val="99"/>
    <w:tblPr>
      <w:tblInd w:w="0" w:type="dxa"/>
      <w:tblCellMar>
        <w:top w:w="0" w:type="dxa"/>
        <w:left w:w="108" w:type="dxa"/>
        <w:bottom w:w="0" w:type="dxa"/>
        <w:right w:w="108" w:type="dxa"/>
      </w:tblCellMar>
    </w:tblPr>
  </w:style>
  <w:style w:type="numbering" w:customStyle="1" w:styleId="Bezlisty229">
    <w:name w:val="Bez listy229"/>
    <w:uiPriority w:val="99"/>
  </w:style>
  <w:style w:type="paragraph" w:customStyle="1" w:styleId="Normalny230">
    <w:name w:val="Normalny230"/>
    <w:qFormat/>
    <w:pPr>
      <w:spacing w:after="200"/>
    </w:pPr>
  </w:style>
  <w:style w:type="character" w:customStyle="1" w:styleId="Domylnaczcionkaakapitu230">
    <w:name w:val="Domyślna czcionka akapitu230"/>
    <w:uiPriority w:val="1"/>
  </w:style>
  <w:style w:type="table" w:customStyle="1" w:styleId="Standardowy230">
    <w:name w:val="Standardowy230"/>
    <w:uiPriority w:val="99"/>
    <w:tblPr>
      <w:tblInd w:w="0" w:type="dxa"/>
      <w:tblCellMar>
        <w:top w:w="0" w:type="dxa"/>
        <w:left w:w="108" w:type="dxa"/>
        <w:bottom w:w="0" w:type="dxa"/>
        <w:right w:w="108" w:type="dxa"/>
      </w:tblCellMar>
    </w:tblPr>
  </w:style>
  <w:style w:type="numbering" w:customStyle="1" w:styleId="Bezlisty230">
    <w:name w:val="Bez listy230"/>
    <w:uiPriority w:val="99"/>
  </w:style>
  <w:style w:type="paragraph" w:customStyle="1" w:styleId="Normalny231">
    <w:name w:val="Normalny231"/>
    <w:qFormat/>
    <w:pPr>
      <w:spacing w:after="200"/>
    </w:pPr>
  </w:style>
  <w:style w:type="character" w:customStyle="1" w:styleId="Domylnaczcionkaakapitu231">
    <w:name w:val="Domyślna czcionka akapitu231"/>
    <w:uiPriority w:val="1"/>
  </w:style>
  <w:style w:type="table" w:customStyle="1" w:styleId="Standardowy231">
    <w:name w:val="Standardowy231"/>
    <w:uiPriority w:val="99"/>
    <w:tblPr>
      <w:tblInd w:w="0" w:type="dxa"/>
      <w:tblCellMar>
        <w:top w:w="0" w:type="dxa"/>
        <w:left w:w="108" w:type="dxa"/>
        <w:bottom w:w="0" w:type="dxa"/>
        <w:right w:w="108" w:type="dxa"/>
      </w:tblCellMar>
    </w:tblPr>
  </w:style>
  <w:style w:type="numbering" w:customStyle="1" w:styleId="Bezlisty231">
    <w:name w:val="Bez listy231"/>
    <w:uiPriority w:val="99"/>
  </w:style>
  <w:style w:type="paragraph" w:customStyle="1" w:styleId="Normalny232">
    <w:name w:val="Normalny232"/>
    <w:qFormat/>
    <w:pPr>
      <w:spacing w:after="200"/>
    </w:pPr>
  </w:style>
  <w:style w:type="character" w:customStyle="1" w:styleId="Domylnaczcionkaakapitu232">
    <w:name w:val="Domyślna czcionka akapitu232"/>
    <w:uiPriority w:val="1"/>
  </w:style>
  <w:style w:type="table" w:customStyle="1" w:styleId="Standardowy232">
    <w:name w:val="Standardowy232"/>
    <w:uiPriority w:val="99"/>
    <w:tblPr>
      <w:tblInd w:w="0" w:type="dxa"/>
      <w:tblCellMar>
        <w:top w:w="0" w:type="dxa"/>
        <w:left w:w="108" w:type="dxa"/>
        <w:bottom w:w="0" w:type="dxa"/>
        <w:right w:w="108" w:type="dxa"/>
      </w:tblCellMar>
    </w:tblPr>
  </w:style>
  <w:style w:type="numbering" w:customStyle="1" w:styleId="Bezlisty232">
    <w:name w:val="Bez listy232"/>
    <w:uiPriority w:val="99"/>
  </w:style>
  <w:style w:type="paragraph" w:customStyle="1" w:styleId="Normalny233">
    <w:name w:val="Normalny233"/>
    <w:qFormat/>
    <w:pPr>
      <w:spacing w:after="200"/>
    </w:pPr>
  </w:style>
  <w:style w:type="character" w:customStyle="1" w:styleId="Domylnaczcionkaakapitu233">
    <w:name w:val="Domyślna czcionka akapitu233"/>
    <w:uiPriority w:val="1"/>
  </w:style>
  <w:style w:type="table" w:customStyle="1" w:styleId="Standardowy233">
    <w:name w:val="Standardowy233"/>
    <w:uiPriority w:val="99"/>
    <w:tblPr>
      <w:tblInd w:w="0" w:type="dxa"/>
      <w:tblCellMar>
        <w:top w:w="0" w:type="dxa"/>
        <w:left w:w="108" w:type="dxa"/>
        <w:bottom w:w="0" w:type="dxa"/>
        <w:right w:w="108" w:type="dxa"/>
      </w:tblCellMar>
    </w:tblPr>
  </w:style>
  <w:style w:type="numbering" w:customStyle="1" w:styleId="Bezlisty233">
    <w:name w:val="Bez listy233"/>
    <w:uiPriority w:val="99"/>
  </w:style>
  <w:style w:type="paragraph" w:customStyle="1" w:styleId="Normalny234">
    <w:name w:val="Normalny234"/>
    <w:qFormat/>
    <w:pPr>
      <w:spacing w:after="200"/>
    </w:pPr>
  </w:style>
  <w:style w:type="character" w:customStyle="1" w:styleId="Domylnaczcionkaakapitu234">
    <w:name w:val="Domyślna czcionka akapitu234"/>
    <w:uiPriority w:val="1"/>
  </w:style>
  <w:style w:type="table" w:customStyle="1" w:styleId="Standardowy234">
    <w:name w:val="Standardowy234"/>
    <w:uiPriority w:val="99"/>
    <w:tblPr>
      <w:tblInd w:w="0" w:type="dxa"/>
      <w:tblCellMar>
        <w:top w:w="0" w:type="dxa"/>
        <w:left w:w="108" w:type="dxa"/>
        <w:bottom w:w="0" w:type="dxa"/>
        <w:right w:w="108" w:type="dxa"/>
      </w:tblCellMar>
    </w:tblPr>
  </w:style>
  <w:style w:type="numbering" w:customStyle="1" w:styleId="Bezlisty234">
    <w:name w:val="Bez listy234"/>
    <w:uiPriority w:val="99"/>
  </w:style>
  <w:style w:type="paragraph" w:customStyle="1" w:styleId="Normalny235">
    <w:name w:val="Normalny235"/>
    <w:qFormat/>
    <w:pPr>
      <w:spacing w:after="200"/>
    </w:pPr>
  </w:style>
  <w:style w:type="character" w:customStyle="1" w:styleId="Domylnaczcionkaakapitu235">
    <w:name w:val="Domyślna czcionka akapitu235"/>
    <w:uiPriority w:val="1"/>
  </w:style>
  <w:style w:type="table" w:customStyle="1" w:styleId="Standardowy235">
    <w:name w:val="Standardowy235"/>
    <w:uiPriority w:val="99"/>
    <w:tblPr>
      <w:tblInd w:w="0" w:type="dxa"/>
      <w:tblCellMar>
        <w:top w:w="0" w:type="dxa"/>
        <w:left w:w="108" w:type="dxa"/>
        <w:bottom w:w="0" w:type="dxa"/>
        <w:right w:w="108" w:type="dxa"/>
      </w:tblCellMar>
    </w:tblPr>
  </w:style>
  <w:style w:type="numbering" w:customStyle="1" w:styleId="Bezlisty235">
    <w:name w:val="Bez listy235"/>
    <w:uiPriority w:val="99"/>
  </w:style>
  <w:style w:type="paragraph" w:customStyle="1" w:styleId="Normalny236">
    <w:name w:val="Normalny236"/>
    <w:qFormat/>
    <w:pPr>
      <w:spacing w:after="200"/>
    </w:pPr>
  </w:style>
  <w:style w:type="character" w:customStyle="1" w:styleId="Domylnaczcionkaakapitu236">
    <w:name w:val="Domyślna czcionka akapitu236"/>
    <w:uiPriority w:val="1"/>
  </w:style>
  <w:style w:type="table" w:customStyle="1" w:styleId="Standardowy236">
    <w:name w:val="Standardowy236"/>
    <w:uiPriority w:val="99"/>
    <w:tblPr>
      <w:tblInd w:w="0" w:type="dxa"/>
      <w:tblCellMar>
        <w:top w:w="0" w:type="dxa"/>
        <w:left w:w="108" w:type="dxa"/>
        <w:bottom w:w="0" w:type="dxa"/>
        <w:right w:w="108" w:type="dxa"/>
      </w:tblCellMar>
    </w:tblPr>
  </w:style>
  <w:style w:type="numbering" w:customStyle="1" w:styleId="Bezlisty236">
    <w:name w:val="Bez listy236"/>
    <w:uiPriority w:val="99"/>
  </w:style>
  <w:style w:type="paragraph" w:customStyle="1" w:styleId="Normalny237">
    <w:name w:val="Normalny237"/>
    <w:qFormat/>
    <w:pPr>
      <w:spacing w:after="200"/>
    </w:pPr>
  </w:style>
  <w:style w:type="character" w:customStyle="1" w:styleId="Domylnaczcionkaakapitu237">
    <w:name w:val="Domyślna czcionka akapitu237"/>
    <w:uiPriority w:val="1"/>
  </w:style>
  <w:style w:type="table" w:customStyle="1" w:styleId="Standardowy237">
    <w:name w:val="Standardowy237"/>
    <w:uiPriority w:val="99"/>
    <w:tblPr>
      <w:tblInd w:w="0" w:type="dxa"/>
      <w:tblCellMar>
        <w:top w:w="0" w:type="dxa"/>
        <w:left w:w="108" w:type="dxa"/>
        <w:bottom w:w="0" w:type="dxa"/>
        <w:right w:w="108" w:type="dxa"/>
      </w:tblCellMar>
    </w:tblPr>
  </w:style>
  <w:style w:type="numbering" w:customStyle="1" w:styleId="Bezlisty237">
    <w:name w:val="Bez listy237"/>
    <w:uiPriority w:val="99"/>
  </w:style>
  <w:style w:type="paragraph" w:customStyle="1" w:styleId="Normalny238">
    <w:name w:val="Normalny238"/>
    <w:qFormat/>
    <w:pPr>
      <w:spacing w:after="200"/>
    </w:pPr>
  </w:style>
  <w:style w:type="character" w:customStyle="1" w:styleId="Domylnaczcionkaakapitu238">
    <w:name w:val="Domyślna czcionka akapitu238"/>
    <w:uiPriority w:val="1"/>
  </w:style>
  <w:style w:type="table" w:customStyle="1" w:styleId="Standardowy238">
    <w:name w:val="Standardowy238"/>
    <w:uiPriority w:val="99"/>
    <w:tblPr>
      <w:tblInd w:w="0" w:type="dxa"/>
      <w:tblCellMar>
        <w:top w:w="0" w:type="dxa"/>
        <w:left w:w="108" w:type="dxa"/>
        <w:bottom w:w="0" w:type="dxa"/>
        <w:right w:w="108" w:type="dxa"/>
      </w:tblCellMar>
    </w:tblPr>
  </w:style>
  <w:style w:type="numbering" w:customStyle="1" w:styleId="Bezlisty238">
    <w:name w:val="Bez listy238"/>
    <w:uiPriority w:val="99"/>
  </w:style>
  <w:style w:type="paragraph" w:customStyle="1" w:styleId="Normalny239">
    <w:name w:val="Normalny239"/>
    <w:qFormat/>
    <w:pPr>
      <w:spacing w:after="200"/>
    </w:pPr>
  </w:style>
  <w:style w:type="character" w:customStyle="1" w:styleId="Domylnaczcionkaakapitu239">
    <w:name w:val="Domyślna czcionka akapitu239"/>
    <w:uiPriority w:val="1"/>
  </w:style>
  <w:style w:type="table" w:customStyle="1" w:styleId="Standardowy239">
    <w:name w:val="Standardowy239"/>
    <w:uiPriority w:val="99"/>
    <w:tblPr>
      <w:tblInd w:w="0" w:type="dxa"/>
      <w:tblCellMar>
        <w:top w:w="0" w:type="dxa"/>
        <w:left w:w="108" w:type="dxa"/>
        <w:bottom w:w="0" w:type="dxa"/>
        <w:right w:w="108" w:type="dxa"/>
      </w:tblCellMar>
    </w:tblPr>
  </w:style>
  <w:style w:type="numbering" w:customStyle="1" w:styleId="Bezlisty239">
    <w:name w:val="Bez listy239"/>
    <w:uiPriority w:val="99"/>
  </w:style>
  <w:style w:type="paragraph" w:customStyle="1" w:styleId="Normalny240">
    <w:name w:val="Normalny240"/>
    <w:qFormat/>
    <w:pPr>
      <w:spacing w:after="200"/>
    </w:pPr>
  </w:style>
  <w:style w:type="character" w:customStyle="1" w:styleId="Domylnaczcionkaakapitu240">
    <w:name w:val="Domyślna czcionka akapitu240"/>
    <w:uiPriority w:val="1"/>
  </w:style>
  <w:style w:type="table" w:customStyle="1" w:styleId="Standardowy240">
    <w:name w:val="Standardowy240"/>
    <w:uiPriority w:val="99"/>
    <w:tblPr>
      <w:tblInd w:w="0" w:type="dxa"/>
      <w:tblCellMar>
        <w:top w:w="0" w:type="dxa"/>
        <w:left w:w="108" w:type="dxa"/>
        <w:bottom w:w="0" w:type="dxa"/>
        <w:right w:w="108" w:type="dxa"/>
      </w:tblCellMar>
    </w:tblPr>
  </w:style>
  <w:style w:type="numbering" w:customStyle="1" w:styleId="Bezlisty240">
    <w:name w:val="Bez listy240"/>
    <w:uiPriority w:val="99"/>
  </w:style>
  <w:style w:type="paragraph" w:customStyle="1" w:styleId="Normalny241">
    <w:name w:val="Normalny241"/>
    <w:qFormat/>
    <w:pPr>
      <w:spacing w:after="200"/>
    </w:pPr>
  </w:style>
  <w:style w:type="character" w:customStyle="1" w:styleId="Domylnaczcionkaakapitu241">
    <w:name w:val="Domyślna czcionka akapitu241"/>
    <w:uiPriority w:val="1"/>
  </w:style>
  <w:style w:type="table" w:customStyle="1" w:styleId="Standardowy241">
    <w:name w:val="Standardowy241"/>
    <w:uiPriority w:val="99"/>
    <w:tblPr>
      <w:tblInd w:w="0" w:type="dxa"/>
      <w:tblCellMar>
        <w:top w:w="0" w:type="dxa"/>
        <w:left w:w="108" w:type="dxa"/>
        <w:bottom w:w="0" w:type="dxa"/>
        <w:right w:w="108" w:type="dxa"/>
      </w:tblCellMar>
    </w:tblPr>
  </w:style>
  <w:style w:type="numbering" w:customStyle="1" w:styleId="Bezlisty241">
    <w:name w:val="Bez listy241"/>
    <w:uiPriority w:val="99"/>
  </w:style>
  <w:style w:type="paragraph" w:customStyle="1" w:styleId="Normalny242">
    <w:name w:val="Normalny242"/>
    <w:qFormat/>
    <w:pPr>
      <w:spacing w:after="200"/>
    </w:pPr>
  </w:style>
  <w:style w:type="character" w:customStyle="1" w:styleId="Domylnaczcionkaakapitu242">
    <w:name w:val="Domyślna czcionka akapitu242"/>
    <w:uiPriority w:val="1"/>
  </w:style>
  <w:style w:type="table" w:customStyle="1" w:styleId="Standardowy242">
    <w:name w:val="Standardowy242"/>
    <w:uiPriority w:val="99"/>
    <w:tblPr>
      <w:tblInd w:w="0" w:type="dxa"/>
      <w:tblCellMar>
        <w:top w:w="0" w:type="dxa"/>
        <w:left w:w="108" w:type="dxa"/>
        <w:bottom w:w="0" w:type="dxa"/>
        <w:right w:w="108" w:type="dxa"/>
      </w:tblCellMar>
    </w:tblPr>
  </w:style>
  <w:style w:type="numbering" w:customStyle="1" w:styleId="Bezlisty242">
    <w:name w:val="Bez listy242"/>
    <w:uiPriority w:val="99"/>
  </w:style>
  <w:style w:type="paragraph" w:customStyle="1" w:styleId="Normalny243">
    <w:name w:val="Normalny243"/>
    <w:qFormat/>
    <w:pPr>
      <w:spacing w:after="200"/>
    </w:pPr>
  </w:style>
  <w:style w:type="character" w:customStyle="1" w:styleId="Domylnaczcionkaakapitu243">
    <w:name w:val="Domyślna czcionka akapitu243"/>
    <w:uiPriority w:val="1"/>
  </w:style>
  <w:style w:type="table" w:customStyle="1" w:styleId="Standardowy243">
    <w:name w:val="Standardowy243"/>
    <w:uiPriority w:val="99"/>
    <w:tblPr>
      <w:tblInd w:w="0" w:type="dxa"/>
      <w:tblCellMar>
        <w:top w:w="0" w:type="dxa"/>
        <w:left w:w="108" w:type="dxa"/>
        <w:bottom w:w="0" w:type="dxa"/>
        <w:right w:w="108" w:type="dxa"/>
      </w:tblCellMar>
    </w:tblPr>
  </w:style>
  <w:style w:type="numbering" w:customStyle="1" w:styleId="Bezlisty243">
    <w:name w:val="Bez listy243"/>
    <w:uiPriority w:val="99"/>
  </w:style>
  <w:style w:type="paragraph" w:customStyle="1" w:styleId="Normalny244">
    <w:name w:val="Normalny244"/>
    <w:qFormat/>
    <w:pPr>
      <w:spacing w:after="200"/>
    </w:pPr>
  </w:style>
  <w:style w:type="character" w:customStyle="1" w:styleId="Domylnaczcionkaakapitu244">
    <w:name w:val="Domyślna czcionka akapitu244"/>
    <w:uiPriority w:val="1"/>
  </w:style>
  <w:style w:type="table" w:customStyle="1" w:styleId="Standardowy244">
    <w:name w:val="Standardowy244"/>
    <w:uiPriority w:val="99"/>
    <w:tblPr>
      <w:tblInd w:w="0" w:type="dxa"/>
      <w:tblCellMar>
        <w:top w:w="0" w:type="dxa"/>
        <w:left w:w="108" w:type="dxa"/>
        <w:bottom w:w="0" w:type="dxa"/>
        <w:right w:w="108" w:type="dxa"/>
      </w:tblCellMar>
    </w:tblPr>
  </w:style>
  <w:style w:type="numbering" w:customStyle="1" w:styleId="Bezlisty244">
    <w:name w:val="Bez listy244"/>
    <w:uiPriority w:val="99"/>
  </w:style>
  <w:style w:type="paragraph" w:customStyle="1" w:styleId="Normalny245">
    <w:name w:val="Normalny245"/>
    <w:qFormat/>
    <w:pPr>
      <w:spacing w:after="200"/>
    </w:pPr>
  </w:style>
  <w:style w:type="character" w:customStyle="1" w:styleId="Domylnaczcionkaakapitu245">
    <w:name w:val="Domyślna czcionka akapitu245"/>
    <w:uiPriority w:val="1"/>
  </w:style>
  <w:style w:type="table" w:customStyle="1" w:styleId="Standardowy245">
    <w:name w:val="Standardowy245"/>
    <w:uiPriority w:val="99"/>
    <w:tblPr>
      <w:tblInd w:w="0" w:type="dxa"/>
      <w:tblCellMar>
        <w:top w:w="0" w:type="dxa"/>
        <w:left w:w="108" w:type="dxa"/>
        <w:bottom w:w="0" w:type="dxa"/>
        <w:right w:w="108" w:type="dxa"/>
      </w:tblCellMar>
    </w:tblPr>
  </w:style>
  <w:style w:type="numbering" w:customStyle="1" w:styleId="Bezlisty245">
    <w:name w:val="Bez listy245"/>
    <w:uiPriority w:val="99"/>
  </w:style>
  <w:style w:type="paragraph" w:customStyle="1" w:styleId="Normalny246">
    <w:name w:val="Normalny246"/>
    <w:qFormat/>
    <w:pPr>
      <w:spacing w:after="200"/>
    </w:pPr>
  </w:style>
  <w:style w:type="character" w:customStyle="1" w:styleId="Domylnaczcionkaakapitu246">
    <w:name w:val="Domyślna czcionka akapitu246"/>
    <w:uiPriority w:val="1"/>
  </w:style>
  <w:style w:type="table" w:customStyle="1" w:styleId="Standardowy246">
    <w:name w:val="Standardowy246"/>
    <w:uiPriority w:val="99"/>
    <w:tblPr>
      <w:tblInd w:w="0" w:type="dxa"/>
      <w:tblCellMar>
        <w:top w:w="0" w:type="dxa"/>
        <w:left w:w="108" w:type="dxa"/>
        <w:bottom w:w="0" w:type="dxa"/>
        <w:right w:w="108" w:type="dxa"/>
      </w:tblCellMar>
    </w:tblPr>
  </w:style>
  <w:style w:type="numbering" w:customStyle="1" w:styleId="Bezlisty246">
    <w:name w:val="Bez listy246"/>
    <w:uiPriority w:val="99"/>
  </w:style>
  <w:style w:type="paragraph" w:customStyle="1" w:styleId="Normalny247">
    <w:name w:val="Normalny247"/>
    <w:qFormat/>
    <w:pPr>
      <w:spacing w:after="200"/>
    </w:pPr>
  </w:style>
  <w:style w:type="character" w:customStyle="1" w:styleId="Domylnaczcionkaakapitu247">
    <w:name w:val="Domyślna czcionka akapitu247"/>
    <w:uiPriority w:val="1"/>
  </w:style>
  <w:style w:type="table" w:customStyle="1" w:styleId="Standardowy247">
    <w:name w:val="Standardowy247"/>
    <w:uiPriority w:val="99"/>
    <w:tblPr>
      <w:tblInd w:w="0" w:type="dxa"/>
      <w:tblCellMar>
        <w:top w:w="0" w:type="dxa"/>
        <w:left w:w="108" w:type="dxa"/>
        <w:bottom w:w="0" w:type="dxa"/>
        <w:right w:w="108" w:type="dxa"/>
      </w:tblCellMar>
    </w:tblPr>
  </w:style>
  <w:style w:type="numbering" w:customStyle="1" w:styleId="Bezlisty247">
    <w:name w:val="Bez listy247"/>
    <w:uiPriority w:val="99"/>
  </w:style>
  <w:style w:type="paragraph" w:customStyle="1" w:styleId="Normalny248">
    <w:name w:val="Normalny248"/>
    <w:qFormat/>
    <w:pPr>
      <w:spacing w:after="200"/>
    </w:pPr>
  </w:style>
  <w:style w:type="character" w:customStyle="1" w:styleId="Domylnaczcionkaakapitu248">
    <w:name w:val="Domyślna czcionka akapitu248"/>
    <w:uiPriority w:val="1"/>
  </w:style>
  <w:style w:type="table" w:customStyle="1" w:styleId="Standardowy248">
    <w:name w:val="Standardowy248"/>
    <w:uiPriority w:val="99"/>
    <w:tblPr>
      <w:tblInd w:w="0" w:type="dxa"/>
      <w:tblCellMar>
        <w:top w:w="0" w:type="dxa"/>
        <w:left w:w="108" w:type="dxa"/>
        <w:bottom w:w="0" w:type="dxa"/>
        <w:right w:w="108" w:type="dxa"/>
      </w:tblCellMar>
    </w:tblPr>
  </w:style>
  <w:style w:type="numbering" w:customStyle="1" w:styleId="Bezlisty248">
    <w:name w:val="Bez listy248"/>
    <w:uiPriority w:val="99"/>
  </w:style>
  <w:style w:type="paragraph" w:customStyle="1" w:styleId="Normalny249">
    <w:name w:val="Normalny249"/>
    <w:qFormat/>
    <w:pPr>
      <w:spacing w:after="200"/>
    </w:pPr>
  </w:style>
  <w:style w:type="character" w:customStyle="1" w:styleId="Domylnaczcionkaakapitu249">
    <w:name w:val="Domyślna czcionka akapitu249"/>
    <w:uiPriority w:val="1"/>
  </w:style>
  <w:style w:type="table" w:customStyle="1" w:styleId="Standardowy249">
    <w:name w:val="Standardowy249"/>
    <w:uiPriority w:val="99"/>
    <w:tblPr>
      <w:tblInd w:w="0" w:type="dxa"/>
      <w:tblCellMar>
        <w:top w:w="0" w:type="dxa"/>
        <w:left w:w="108" w:type="dxa"/>
        <w:bottom w:w="0" w:type="dxa"/>
        <w:right w:w="108" w:type="dxa"/>
      </w:tblCellMar>
    </w:tblPr>
  </w:style>
  <w:style w:type="numbering" w:customStyle="1" w:styleId="Bezlisty249">
    <w:name w:val="Bez listy249"/>
    <w:uiPriority w:val="99"/>
  </w:style>
  <w:style w:type="paragraph" w:customStyle="1" w:styleId="Normalny250">
    <w:name w:val="Normalny250"/>
    <w:qFormat/>
    <w:pPr>
      <w:spacing w:after="200"/>
    </w:pPr>
  </w:style>
  <w:style w:type="character" w:customStyle="1" w:styleId="Domylnaczcionkaakapitu250">
    <w:name w:val="Domyślna czcionka akapitu250"/>
    <w:uiPriority w:val="1"/>
  </w:style>
  <w:style w:type="table" w:customStyle="1" w:styleId="Standardowy250">
    <w:name w:val="Standardowy250"/>
    <w:uiPriority w:val="99"/>
    <w:tblPr>
      <w:tblInd w:w="0" w:type="dxa"/>
      <w:tblCellMar>
        <w:top w:w="0" w:type="dxa"/>
        <w:left w:w="108" w:type="dxa"/>
        <w:bottom w:w="0" w:type="dxa"/>
        <w:right w:w="108" w:type="dxa"/>
      </w:tblCellMar>
    </w:tblPr>
  </w:style>
  <w:style w:type="numbering" w:customStyle="1" w:styleId="Bezlisty250">
    <w:name w:val="Bez listy250"/>
    <w:uiPriority w:val="99"/>
  </w:style>
  <w:style w:type="paragraph" w:customStyle="1" w:styleId="Normalny251">
    <w:name w:val="Normalny251"/>
    <w:qFormat/>
    <w:pPr>
      <w:spacing w:after="200"/>
    </w:pPr>
  </w:style>
  <w:style w:type="character" w:customStyle="1" w:styleId="Domylnaczcionkaakapitu251">
    <w:name w:val="Domyślna czcionka akapitu251"/>
    <w:uiPriority w:val="1"/>
  </w:style>
  <w:style w:type="table" w:customStyle="1" w:styleId="Standardowy251">
    <w:name w:val="Standardowy251"/>
    <w:uiPriority w:val="99"/>
    <w:tblPr>
      <w:tblInd w:w="0" w:type="dxa"/>
      <w:tblCellMar>
        <w:top w:w="0" w:type="dxa"/>
        <w:left w:w="108" w:type="dxa"/>
        <w:bottom w:w="0" w:type="dxa"/>
        <w:right w:w="108" w:type="dxa"/>
      </w:tblCellMar>
    </w:tblPr>
  </w:style>
  <w:style w:type="numbering" w:customStyle="1" w:styleId="Bezlisty251">
    <w:name w:val="Bez listy251"/>
    <w:uiPriority w:val="99"/>
  </w:style>
  <w:style w:type="paragraph" w:customStyle="1" w:styleId="Normalny252">
    <w:name w:val="Normalny252"/>
    <w:qFormat/>
    <w:pPr>
      <w:spacing w:after="200"/>
    </w:pPr>
  </w:style>
  <w:style w:type="character" w:customStyle="1" w:styleId="Domylnaczcionkaakapitu252">
    <w:name w:val="Domyślna czcionka akapitu252"/>
    <w:uiPriority w:val="1"/>
  </w:style>
  <w:style w:type="table" w:customStyle="1" w:styleId="Standardowy252">
    <w:name w:val="Standardowy252"/>
    <w:uiPriority w:val="99"/>
    <w:tblPr>
      <w:tblInd w:w="0" w:type="dxa"/>
      <w:tblCellMar>
        <w:top w:w="0" w:type="dxa"/>
        <w:left w:w="108" w:type="dxa"/>
        <w:bottom w:w="0" w:type="dxa"/>
        <w:right w:w="108" w:type="dxa"/>
      </w:tblCellMar>
    </w:tblPr>
  </w:style>
  <w:style w:type="numbering" w:customStyle="1" w:styleId="Bezlisty252">
    <w:name w:val="Bez listy252"/>
    <w:uiPriority w:val="99"/>
  </w:style>
  <w:style w:type="paragraph" w:customStyle="1" w:styleId="Normalny253">
    <w:name w:val="Normalny253"/>
    <w:qFormat/>
    <w:pPr>
      <w:spacing w:after="200"/>
    </w:pPr>
  </w:style>
  <w:style w:type="character" w:customStyle="1" w:styleId="Domylnaczcionkaakapitu253">
    <w:name w:val="Domyślna czcionka akapitu253"/>
    <w:uiPriority w:val="1"/>
  </w:style>
  <w:style w:type="table" w:customStyle="1" w:styleId="Standardowy253">
    <w:name w:val="Standardowy253"/>
    <w:uiPriority w:val="99"/>
    <w:tblPr>
      <w:tblInd w:w="0" w:type="dxa"/>
      <w:tblCellMar>
        <w:top w:w="0" w:type="dxa"/>
        <w:left w:w="108" w:type="dxa"/>
        <w:bottom w:w="0" w:type="dxa"/>
        <w:right w:w="108" w:type="dxa"/>
      </w:tblCellMar>
    </w:tblPr>
  </w:style>
  <w:style w:type="numbering" w:customStyle="1" w:styleId="Bezlisty253">
    <w:name w:val="Bez listy253"/>
    <w:uiPriority w:val="99"/>
  </w:style>
  <w:style w:type="paragraph" w:customStyle="1" w:styleId="Normalny254">
    <w:name w:val="Normalny254"/>
    <w:qFormat/>
    <w:pPr>
      <w:spacing w:after="200"/>
    </w:pPr>
  </w:style>
  <w:style w:type="character" w:customStyle="1" w:styleId="Domylnaczcionkaakapitu254">
    <w:name w:val="Domyślna czcionka akapitu254"/>
    <w:uiPriority w:val="1"/>
  </w:style>
  <w:style w:type="table" w:customStyle="1" w:styleId="Standardowy254">
    <w:name w:val="Standardowy254"/>
    <w:uiPriority w:val="99"/>
    <w:tblPr>
      <w:tblInd w:w="0" w:type="dxa"/>
      <w:tblCellMar>
        <w:top w:w="0" w:type="dxa"/>
        <w:left w:w="108" w:type="dxa"/>
        <w:bottom w:w="0" w:type="dxa"/>
        <w:right w:w="108" w:type="dxa"/>
      </w:tblCellMar>
    </w:tblPr>
  </w:style>
  <w:style w:type="numbering" w:customStyle="1" w:styleId="Bezlisty254">
    <w:name w:val="Bez listy254"/>
    <w:uiPriority w:val="99"/>
  </w:style>
  <w:style w:type="paragraph" w:customStyle="1" w:styleId="Normalny255">
    <w:name w:val="Normalny255"/>
    <w:qFormat/>
    <w:pPr>
      <w:spacing w:after="200"/>
    </w:pPr>
  </w:style>
  <w:style w:type="character" w:customStyle="1" w:styleId="Domylnaczcionkaakapitu255">
    <w:name w:val="Domyślna czcionka akapitu255"/>
    <w:uiPriority w:val="1"/>
  </w:style>
  <w:style w:type="table" w:customStyle="1" w:styleId="Standardowy255">
    <w:name w:val="Standardowy255"/>
    <w:uiPriority w:val="99"/>
    <w:tblPr>
      <w:tblInd w:w="0" w:type="dxa"/>
      <w:tblCellMar>
        <w:top w:w="0" w:type="dxa"/>
        <w:left w:w="108" w:type="dxa"/>
        <w:bottom w:w="0" w:type="dxa"/>
        <w:right w:w="108" w:type="dxa"/>
      </w:tblCellMar>
    </w:tblPr>
  </w:style>
  <w:style w:type="numbering" w:customStyle="1" w:styleId="Bezlisty255">
    <w:name w:val="Bez listy255"/>
    <w:uiPriority w:val="99"/>
  </w:style>
  <w:style w:type="paragraph" w:customStyle="1" w:styleId="Normalny256">
    <w:name w:val="Normalny256"/>
    <w:qFormat/>
    <w:pPr>
      <w:spacing w:after="200"/>
    </w:pPr>
  </w:style>
  <w:style w:type="character" w:customStyle="1" w:styleId="Domylnaczcionkaakapitu256">
    <w:name w:val="Domyślna czcionka akapitu256"/>
    <w:uiPriority w:val="1"/>
  </w:style>
  <w:style w:type="table" w:customStyle="1" w:styleId="Standardowy256">
    <w:name w:val="Standardowy256"/>
    <w:uiPriority w:val="99"/>
    <w:tblPr>
      <w:tblInd w:w="0" w:type="dxa"/>
      <w:tblCellMar>
        <w:top w:w="0" w:type="dxa"/>
        <w:left w:w="108" w:type="dxa"/>
        <w:bottom w:w="0" w:type="dxa"/>
        <w:right w:w="108" w:type="dxa"/>
      </w:tblCellMar>
    </w:tblPr>
  </w:style>
  <w:style w:type="numbering" w:customStyle="1" w:styleId="Bezlisty256">
    <w:name w:val="Bez listy256"/>
    <w:uiPriority w:val="99"/>
  </w:style>
  <w:style w:type="paragraph" w:customStyle="1" w:styleId="Normalny257">
    <w:name w:val="Normalny257"/>
    <w:qFormat/>
    <w:pPr>
      <w:spacing w:after="200"/>
    </w:pPr>
  </w:style>
  <w:style w:type="character" w:customStyle="1" w:styleId="Domylnaczcionkaakapitu257">
    <w:name w:val="Domyślna czcionka akapitu257"/>
    <w:uiPriority w:val="1"/>
  </w:style>
  <w:style w:type="table" w:customStyle="1" w:styleId="Standardowy257">
    <w:name w:val="Standardowy257"/>
    <w:uiPriority w:val="99"/>
    <w:tblPr>
      <w:tblInd w:w="0" w:type="dxa"/>
      <w:tblCellMar>
        <w:top w:w="0" w:type="dxa"/>
        <w:left w:w="108" w:type="dxa"/>
        <w:bottom w:w="0" w:type="dxa"/>
        <w:right w:w="108" w:type="dxa"/>
      </w:tblCellMar>
    </w:tblPr>
  </w:style>
  <w:style w:type="numbering" w:customStyle="1" w:styleId="Bezlisty257">
    <w:name w:val="Bez listy257"/>
    <w:uiPriority w:val="99"/>
  </w:style>
  <w:style w:type="paragraph" w:customStyle="1" w:styleId="Normalny258">
    <w:name w:val="Normalny258"/>
    <w:qFormat/>
    <w:pPr>
      <w:spacing w:after="200"/>
    </w:pPr>
  </w:style>
  <w:style w:type="character" w:customStyle="1" w:styleId="Domylnaczcionkaakapitu258">
    <w:name w:val="Domyślna czcionka akapitu258"/>
    <w:uiPriority w:val="1"/>
  </w:style>
  <w:style w:type="table" w:customStyle="1" w:styleId="Standardowy258">
    <w:name w:val="Standardowy258"/>
    <w:uiPriority w:val="99"/>
    <w:tblPr>
      <w:tblInd w:w="0" w:type="dxa"/>
      <w:tblCellMar>
        <w:top w:w="0" w:type="dxa"/>
        <w:left w:w="108" w:type="dxa"/>
        <w:bottom w:w="0" w:type="dxa"/>
        <w:right w:w="108" w:type="dxa"/>
      </w:tblCellMar>
    </w:tblPr>
  </w:style>
  <w:style w:type="numbering" w:customStyle="1" w:styleId="Bezlisty258">
    <w:name w:val="Bez listy258"/>
    <w:uiPriority w:val="99"/>
  </w:style>
  <w:style w:type="paragraph" w:customStyle="1" w:styleId="Normalny259">
    <w:name w:val="Normalny259"/>
    <w:qFormat/>
    <w:pPr>
      <w:spacing w:after="200"/>
    </w:pPr>
  </w:style>
  <w:style w:type="character" w:customStyle="1" w:styleId="Domylnaczcionkaakapitu259">
    <w:name w:val="Domyślna czcionka akapitu259"/>
    <w:uiPriority w:val="1"/>
  </w:style>
  <w:style w:type="table" w:customStyle="1" w:styleId="Standardowy259">
    <w:name w:val="Standardowy259"/>
    <w:uiPriority w:val="99"/>
    <w:tblPr>
      <w:tblInd w:w="0" w:type="dxa"/>
      <w:tblCellMar>
        <w:top w:w="0" w:type="dxa"/>
        <w:left w:w="108" w:type="dxa"/>
        <w:bottom w:w="0" w:type="dxa"/>
        <w:right w:w="108" w:type="dxa"/>
      </w:tblCellMar>
    </w:tblPr>
  </w:style>
  <w:style w:type="numbering" w:customStyle="1" w:styleId="Bezlisty259">
    <w:name w:val="Bez listy259"/>
    <w:uiPriority w:val="99"/>
  </w:style>
  <w:style w:type="paragraph" w:customStyle="1" w:styleId="Normalny260">
    <w:name w:val="Normalny260"/>
    <w:qFormat/>
    <w:pPr>
      <w:spacing w:after="200"/>
    </w:pPr>
  </w:style>
  <w:style w:type="character" w:customStyle="1" w:styleId="Domylnaczcionkaakapitu260">
    <w:name w:val="Domyślna czcionka akapitu260"/>
    <w:uiPriority w:val="1"/>
  </w:style>
  <w:style w:type="table" w:customStyle="1" w:styleId="Standardowy260">
    <w:name w:val="Standardowy260"/>
    <w:uiPriority w:val="99"/>
    <w:tblPr>
      <w:tblInd w:w="0" w:type="dxa"/>
      <w:tblCellMar>
        <w:top w:w="0" w:type="dxa"/>
        <w:left w:w="108" w:type="dxa"/>
        <w:bottom w:w="0" w:type="dxa"/>
        <w:right w:w="108" w:type="dxa"/>
      </w:tblCellMar>
    </w:tblPr>
  </w:style>
  <w:style w:type="numbering" w:customStyle="1" w:styleId="Bezlisty260">
    <w:name w:val="Bez listy260"/>
    <w:uiPriority w:val="99"/>
  </w:style>
  <w:style w:type="paragraph" w:customStyle="1" w:styleId="Normalny261">
    <w:name w:val="Normalny261"/>
    <w:qFormat/>
    <w:pPr>
      <w:spacing w:after="200"/>
    </w:pPr>
  </w:style>
  <w:style w:type="character" w:customStyle="1" w:styleId="Domylnaczcionkaakapitu261">
    <w:name w:val="Domyślna czcionka akapitu261"/>
    <w:uiPriority w:val="1"/>
  </w:style>
  <w:style w:type="table" w:customStyle="1" w:styleId="Standardowy261">
    <w:name w:val="Standardowy261"/>
    <w:uiPriority w:val="99"/>
    <w:tblPr>
      <w:tblInd w:w="0" w:type="dxa"/>
      <w:tblCellMar>
        <w:top w:w="0" w:type="dxa"/>
        <w:left w:w="108" w:type="dxa"/>
        <w:bottom w:w="0" w:type="dxa"/>
        <w:right w:w="108" w:type="dxa"/>
      </w:tblCellMar>
    </w:tblPr>
  </w:style>
  <w:style w:type="numbering" w:customStyle="1" w:styleId="Bezlisty261">
    <w:name w:val="Bez listy261"/>
    <w:uiPriority w:val="99"/>
  </w:style>
  <w:style w:type="paragraph" w:customStyle="1" w:styleId="Normalny262">
    <w:name w:val="Normalny262"/>
    <w:qFormat/>
    <w:pPr>
      <w:spacing w:after="200"/>
    </w:pPr>
  </w:style>
  <w:style w:type="character" w:customStyle="1" w:styleId="Domylnaczcionkaakapitu262">
    <w:name w:val="Domyślna czcionka akapitu262"/>
    <w:uiPriority w:val="1"/>
  </w:style>
  <w:style w:type="table" w:customStyle="1" w:styleId="Standardowy262">
    <w:name w:val="Standardowy262"/>
    <w:uiPriority w:val="99"/>
    <w:tblPr>
      <w:tblInd w:w="0" w:type="dxa"/>
      <w:tblCellMar>
        <w:top w:w="0" w:type="dxa"/>
        <w:left w:w="108" w:type="dxa"/>
        <w:bottom w:w="0" w:type="dxa"/>
        <w:right w:w="108" w:type="dxa"/>
      </w:tblCellMar>
    </w:tblPr>
  </w:style>
  <w:style w:type="numbering" w:customStyle="1" w:styleId="Bezlisty262">
    <w:name w:val="Bez listy262"/>
    <w:uiPriority w:val="99"/>
  </w:style>
  <w:style w:type="paragraph" w:customStyle="1" w:styleId="Normalny263">
    <w:name w:val="Normalny263"/>
    <w:qFormat/>
    <w:pPr>
      <w:spacing w:after="200"/>
    </w:pPr>
  </w:style>
  <w:style w:type="character" w:customStyle="1" w:styleId="Domylnaczcionkaakapitu263">
    <w:name w:val="Domyślna czcionka akapitu263"/>
    <w:uiPriority w:val="1"/>
  </w:style>
  <w:style w:type="table" w:customStyle="1" w:styleId="Standardowy263">
    <w:name w:val="Standardowy263"/>
    <w:uiPriority w:val="99"/>
    <w:tblPr>
      <w:tblInd w:w="0" w:type="dxa"/>
      <w:tblCellMar>
        <w:top w:w="0" w:type="dxa"/>
        <w:left w:w="108" w:type="dxa"/>
        <w:bottom w:w="0" w:type="dxa"/>
        <w:right w:w="108" w:type="dxa"/>
      </w:tblCellMar>
    </w:tblPr>
  </w:style>
  <w:style w:type="numbering" w:customStyle="1" w:styleId="Bezlisty263">
    <w:name w:val="Bez listy263"/>
    <w:uiPriority w:val="99"/>
  </w:style>
  <w:style w:type="paragraph" w:customStyle="1" w:styleId="Normalny264">
    <w:name w:val="Normalny264"/>
    <w:qFormat/>
    <w:pPr>
      <w:spacing w:after="200"/>
    </w:pPr>
  </w:style>
  <w:style w:type="character" w:customStyle="1" w:styleId="Domylnaczcionkaakapitu264">
    <w:name w:val="Domyślna czcionka akapitu264"/>
    <w:uiPriority w:val="1"/>
  </w:style>
  <w:style w:type="table" w:customStyle="1" w:styleId="Standardowy264">
    <w:name w:val="Standardowy264"/>
    <w:uiPriority w:val="99"/>
    <w:tblPr>
      <w:tblInd w:w="0" w:type="dxa"/>
      <w:tblCellMar>
        <w:top w:w="0" w:type="dxa"/>
        <w:left w:w="108" w:type="dxa"/>
        <w:bottom w:w="0" w:type="dxa"/>
        <w:right w:w="108" w:type="dxa"/>
      </w:tblCellMar>
    </w:tblPr>
  </w:style>
  <w:style w:type="numbering" w:customStyle="1" w:styleId="Bezlisty264">
    <w:name w:val="Bez listy264"/>
    <w:uiPriority w:val="99"/>
  </w:style>
  <w:style w:type="paragraph" w:customStyle="1" w:styleId="Normalny265">
    <w:name w:val="Normalny265"/>
    <w:qFormat/>
    <w:pPr>
      <w:spacing w:after="200"/>
    </w:pPr>
  </w:style>
  <w:style w:type="character" w:customStyle="1" w:styleId="Domylnaczcionkaakapitu265">
    <w:name w:val="Domyślna czcionka akapitu265"/>
    <w:uiPriority w:val="1"/>
  </w:style>
  <w:style w:type="table" w:customStyle="1" w:styleId="Standardowy265">
    <w:name w:val="Standardowy265"/>
    <w:uiPriority w:val="99"/>
    <w:tblPr>
      <w:tblInd w:w="0" w:type="dxa"/>
      <w:tblCellMar>
        <w:top w:w="0" w:type="dxa"/>
        <w:left w:w="108" w:type="dxa"/>
        <w:bottom w:w="0" w:type="dxa"/>
        <w:right w:w="108" w:type="dxa"/>
      </w:tblCellMar>
    </w:tblPr>
  </w:style>
  <w:style w:type="numbering" w:customStyle="1" w:styleId="Bezlisty265">
    <w:name w:val="Bez listy265"/>
    <w:uiPriority w:val="99"/>
  </w:style>
  <w:style w:type="paragraph" w:customStyle="1" w:styleId="Normalny266">
    <w:name w:val="Normalny266"/>
    <w:qFormat/>
    <w:pPr>
      <w:spacing w:after="200"/>
    </w:pPr>
  </w:style>
  <w:style w:type="character" w:customStyle="1" w:styleId="Domylnaczcionkaakapitu266">
    <w:name w:val="Domyślna czcionka akapitu266"/>
    <w:uiPriority w:val="1"/>
  </w:style>
  <w:style w:type="table" w:customStyle="1" w:styleId="Standardowy266">
    <w:name w:val="Standardowy266"/>
    <w:uiPriority w:val="99"/>
    <w:tblPr>
      <w:tblInd w:w="0" w:type="dxa"/>
      <w:tblCellMar>
        <w:top w:w="0" w:type="dxa"/>
        <w:left w:w="108" w:type="dxa"/>
        <w:bottom w:w="0" w:type="dxa"/>
        <w:right w:w="108" w:type="dxa"/>
      </w:tblCellMar>
    </w:tblPr>
  </w:style>
  <w:style w:type="numbering" w:customStyle="1" w:styleId="Bezlisty266">
    <w:name w:val="Bez listy266"/>
    <w:uiPriority w:val="99"/>
  </w:style>
  <w:style w:type="paragraph" w:customStyle="1" w:styleId="Normalny267">
    <w:name w:val="Normalny267"/>
    <w:qFormat/>
    <w:pPr>
      <w:spacing w:after="200"/>
    </w:pPr>
  </w:style>
  <w:style w:type="character" w:customStyle="1" w:styleId="Domylnaczcionkaakapitu267">
    <w:name w:val="Domyślna czcionka akapitu267"/>
    <w:uiPriority w:val="1"/>
  </w:style>
  <w:style w:type="table" w:customStyle="1" w:styleId="Standardowy267">
    <w:name w:val="Standardowy267"/>
    <w:uiPriority w:val="99"/>
    <w:tblPr>
      <w:tblInd w:w="0" w:type="dxa"/>
      <w:tblCellMar>
        <w:top w:w="0" w:type="dxa"/>
        <w:left w:w="108" w:type="dxa"/>
        <w:bottom w:w="0" w:type="dxa"/>
        <w:right w:w="108" w:type="dxa"/>
      </w:tblCellMar>
    </w:tblPr>
  </w:style>
  <w:style w:type="numbering" w:customStyle="1" w:styleId="Bezlisty267">
    <w:name w:val="Bez listy267"/>
    <w:uiPriority w:val="99"/>
  </w:style>
  <w:style w:type="paragraph" w:customStyle="1" w:styleId="Normalny268">
    <w:name w:val="Normalny268"/>
    <w:qFormat/>
    <w:pPr>
      <w:spacing w:after="200"/>
    </w:pPr>
  </w:style>
  <w:style w:type="character" w:customStyle="1" w:styleId="Domylnaczcionkaakapitu268">
    <w:name w:val="Domyślna czcionka akapitu268"/>
    <w:uiPriority w:val="1"/>
  </w:style>
  <w:style w:type="table" w:customStyle="1" w:styleId="Standardowy268">
    <w:name w:val="Standardowy268"/>
    <w:uiPriority w:val="99"/>
    <w:tblPr>
      <w:tblInd w:w="0" w:type="dxa"/>
      <w:tblCellMar>
        <w:top w:w="0" w:type="dxa"/>
        <w:left w:w="108" w:type="dxa"/>
        <w:bottom w:w="0" w:type="dxa"/>
        <w:right w:w="108" w:type="dxa"/>
      </w:tblCellMar>
    </w:tblPr>
  </w:style>
  <w:style w:type="numbering" w:customStyle="1" w:styleId="Bezlisty268">
    <w:name w:val="Bez listy268"/>
    <w:uiPriority w:val="99"/>
  </w:style>
  <w:style w:type="paragraph" w:customStyle="1" w:styleId="Normalny269">
    <w:name w:val="Normalny269"/>
    <w:qFormat/>
    <w:pPr>
      <w:spacing w:after="200"/>
    </w:pPr>
  </w:style>
  <w:style w:type="character" w:customStyle="1" w:styleId="Domylnaczcionkaakapitu269">
    <w:name w:val="Domyślna czcionka akapitu269"/>
    <w:uiPriority w:val="1"/>
  </w:style>
  <w:style w:type="table" w:customStyle="1" w:styleId="Standardowy269">
    <w:name w:val="Standardowy269"/>
    <w:uiPriority w:val="99"/>
    <w:tblPr>
      <w:tblInd w:w="0" w:type="dxa"/>
      <w:tblCellMar>
        <w:top w:w="0" w:type="dxa"/>
        <w:left w:w="108" w:type="dxa"/>
        <w:bottom w:w="0" w:type="dxa"/>
        <w:right w:w="108" w:type="dxa"/>
      </w:tblCellMar>
    </w:tblPr>
  </w:style>
  <w:style w:type="numbering" w:customStyle="1" w:styleId="Bezlisty269">
    <w:name w:val="Bez listy269"/>
    <w:uiPriority w:val="99"/>
  </w:style>
  <w:style w:type="paragraph" w:customStyle="1" w:styleId="Normalny270">
    <w:name w:val="Normalny270"/>
    <w:qFormat/>
    <w:pPr>
      <w:spacing w:after="200"/>
    </w:pPr>
  </w:style>
  <w:style w:type="character" w:customStyle="1" w:styleId="Domylnaczcionkaakapitu270">
    <w:name w:val="Domyślna czcionka akapitu270"/>
    <w:uiPriority w:val="1"/>
  </w:style>
  <w:style w:type="table" w:customStyle="1" w:styleId="Standardowy270">
    <w:name w:val="Standardowy270"/>
    <w:uiPriority w:val="99"/>
    <w:tblPr>
      <w:tblInd w:w="0" w:type="dxa"/>
      <w:tblCellMar>
        <w:top w:w="0" w:type="dxa"/>
        <w:left w:w="108" w:type="dxa"/>
        <w:bottom w:w="0" w:type="dxa"/>
        <w:right w:w="108" w:type="dxa"/>
      </w:tblCellMar>
    </w:tblPr>
  </w:style>
  <w:style w:type="numbering" w:customStyle="1" w:styleId="Bezlisty270">
    <w:name w:val="Bez listy270"/>
    <w:uiPriority w:val="99"/>
  </w:style>
  <w:style w:type="paragraph" w:customStyle="1" w:styleId="Normalny271">
    <w:name w:val="Normalny271"/>
    <w:qFormat/>
    <w:pPr>
      <w:spacing w:after="200"/>
    </w:pPr>
  </w:style>
  <w:style w:type="character" w:customStyle="1" w:styleId="Domylnaczcionkaakapitu271">
    <w:name w:val="Domyślna czcionka akapitu271"/>
    <w:uiPriority w:val="1"/>
  </w:style>
  <w:style w:type="table" w:customStyle="1" w:styleId="Standardowy271">
    <w:name w:val="Standardowy271"/>
    <w:uiPriority w:val="99"/>
    <w:tblPr>
      <w:tblInd w:w="0" w:type="dxa"/>
      <w:tblCellMar>
        <w:top w:w="0" w:type="dxa"/>
        <w:left w:w="108" w:type="dxa"/>
        <w:bottom w:w="0" w:type="dxa"/>
        <w:right w:w="108" w:type="dxa"/>
      </w:tblCellMar>
    </w:tblPr>
  </w:style>
  <w:style w:type="numbering" w:customStyle="1" w:styleId="Bezlisty271">
    <w:name w:val="Bez listy271"/>
    <w:uiPriority w:val="99"/>
  </w:style>
  <w:style w:type="paragraph" w:customStyle="1" w:styleId="Normalny272">
    <w:name w:val="Normalny272"/>
    <w:qFormat/>
    <w:pPr>
      <w:spacing w:after="200"/>
    </w:pPr>
  </w:style>
  <w:style w:type="character" w:customStyle="1" w:styleId="Domylnaczcionkaakapitu272">
    <w:name w:val="Domyślna czcionka akapitu272"/>
    <w:uiPriority w:val="1"/>
  </w:style>
  <w:style w:type="table" w:customStyle="1" w:styleId="Standardowy272">
    <w:name w:val="Standardowy272"/>
    <w:uiPriority w:val="99"/>
    <w:tblPr>
      <w:tblInd w:w="0" w:type="dxa"/>
      <w:tblCellMar>
        <w:top w:w="0" w:type="dxa"/>
        <w:left w:w="108" w:type="dxa"/>
        <w:bottom w:w="0" w:type="dxa"/>
        <w:right w:w="108" w:type="dxa"/>
      </w:tblCellMar>
    </w:tblPr>
  </w:style>
  <w:style w:type="numbering" w:customStyle="1" w:styleId="Bezlisty272">
    <w:name w:val="Bez listy272"/>
    <w:uiPriority w:val="99"/>
  </w:style>
  <w:style w:type="paragraph" w:customStyle="1" w:styleId="Normalny273">
    <w:name w:val="Normalny273"/>
    <w:qFormat/>
    <w:pPr>
      <w:spacing w:after="200"/>
    </w:pPr>
  </w:style>
  <w:style w:type="character" w:customStyle="1" w:styleId="Domylnaczcionkaakapitu273">
    <w:name w:val="Domyślna czcionka akapitu273"/>
    <w:uiPriority w:val="1"/>
  </w:style>
  <w:style w:type="table" w:customStyle="1" w:styleId="Standardowy273">
    <w:name w:val="Standardowy273"/>
    <w:uiPriority w:val="99"/>
    <w:tblPr>
      <w:tblInd w:w="0" w:type="dxa"/>
      <w:tblCellMar>
        <w:top w:w="0" w:type="dxa"/>
        <w:left w:w="108" w:type="dxa"/>
        <w:bottom w:w="0" w:type="dxa"/>
        <w:right w:w="108" w:type="dxa"/>
      </w:tblCellMar>
    </w:tblPr>
  </w:style>
  <w:style w:type="numbering" w:customStyle="1" w:styleId="Bezlisty273">
    <w:name w:val="Bez listy273"/>
    <w:uiPriority w:val="99"/>
  </w:style>
  <w:style w:type="paragraph" w:customStyle="1" w:styleId="Normalny274">
    <w:name w:val="Normalny274"/>
    <w:qFormat/>
    <w:pPr>
      <w:spacing w:after="200"/>
    </w:pPr>
  </w:style>
  <w:style w:type="character" w:customStyle="1" w:styleId="Domylnaczcionkaakapitu274">
    <w:name w:val="Domyślna czcionka akapitu274"/>
    <w:uiPriority w:val="1"/>
  </w:style>
  <w:style w:type="table" w:customStyle="1" w:styleId="Standardowy274">
    <w:name w:val="Standardowy274"/>
    <w:uiPriority w:val="99"/>
    <w:tblPr>
      <w:tblInd w:w="0" w:type="dxa"/>
      <w:tblCellMar>
        <w:top w:w="0" w:type="dxa"/>
        <w:left w:w="108" w:type="dxa"/>
        <w:bottom w:w="0" w:type="dxa"/>
        <w:right w:w="108" w:type="dxa"/>
      </w:tblCellMar>
    </w:tblPr>
  </w:style>
  <w:style w:type="numbering" w:customStyle="1" w:styleId="Bezlisty274">
    <w:name w:val="Bez listy274"/>
    <w:uiPriority w:val="99"/>
  </w:style>
  <w:style w:type="paragraph" w:customStyle="1" w:styleId="Normalny275">
    <w:name w:val="Normalny275"/>
    <w:qFormat/>
    <w:pPr>
      <w:spacing w:after="200"/>
    </w:pPr>
  </w:style>
  <w:style w:type="character" w:customStyle="1" w:styleId="Domylnaczcionkaakapitu275">
    <w:name w:val="Domyślna czcionka akapitu275"/>
    <w:uiPriority w:val="1"/>
  </w:style>
  <w:style w:type="table" w:customStyle="1" w:styleId="Standardowy275">
    <w:name w:val="Standardowy275"/>
    <w:uiPriority w:val="99"/>
    <w:tblPr>
      <w:tblInd w:w="0" w:type="dxa"/>
      <w:tblCellMar>
        <w:top w:w="0" w:type="dxa"/>
        <w:left w:w="108" w:type="dxa"/>
        <w:bottom w:w="0" w:type="dxa"/>
        <w:right w:w="108" w:type="dxa"/>
      </w:tblCellMar>
    </w:tblPr>
  </w:style>
  <w:style w:type="numbering" w:customStyle="1" w:styleId="Bezlisty275">
    <w:name w:val="Bez listy275"/>
    <w:uiPriority w:val="99"/>
  </w:style>
  <w:style w:type="paragraph" w:customStyle="1" w:styleId="Normalny276">
    <w:name w:val="Normalny276"/>
    <w:qFormat/>
    <w:pPr>
      <w:spacing w:after="200"/>
    </w:pPr>
  </w:style>
  <w:style w:type="character" w:customStyle="1" w:styleId="Domylnaczcionkaakapitu276">
    <w:name w:val="Domyślna czcionka akapitu276"/>
    <w:uiPriority w:val="1"/>
  </w:style>
  <w:style w:type="table" w:customStyle="1" w:styleId="Standardowy276">
    <w:name w:val="Standardowy276"/>
    <w:uiPriority w:val="99"/>
    <w:tblPr>
      <w:tblInd w:w="0" w:type="dxa"/>
      <w:tblCellMar>
        <w:top w:w="0" w:type="dxa"/>
        <w:left w:w="108" w:type="dxa"/>
        <w:bottom w:w="0" w:type="dxa"/>
        <w:right w:w="108" w:type="dxa"/>
      </w:tblCellMar>
    </w:tblPr>
  </w:style>
  <w:style w:type="numbering" w:customStyle="1" w:styleId="Bezlisty276">
    <w:name w:val="Bez listy276"/>
    <w:uiPriority w:val="99"/>
  </w:style>
  <w:style w:type="paragraph" w:customStyle="1" w:styleId="Normalny277">
    <w:name w:val="Normalny277"/>
    <w:qFormat/>
    <w:pPr>
      <w:spacing w:after="200"/>
    </w:pPr>
  </w:style>
  <w:style w:type="character" w:customStyle="1" w:styleId="Domylnaczcionkaakapitu277">
    <w:name w:val="Domyślna czcionka akapitu277"/>
    <w:uiPriority w:val="1"/>
  </w:style>
  <w:style w:type="table" w:customStyle="1" w:styleId="Standardowy277">
    <w:name w:val="Standardowy277"/>
    <w:uiPriority w:val="99"/>
    <w:tblPr>
      <w:tblInd w:w="0" w:type="dxa"/>
      <w:tblCellMar>
        <w:top w:w="0" w:type="dxa"/>
        <w:left w:w="108" w:type="dxa"/>
        <w:bottom w:w="0" w:type="dxa"/>
        <w:right w:w="108" w:type="dxa"/>
      </w:tblCellMar>
    </w:tblPr>
  </w:style>
  <w:style w:type="numbering" w:customStyle="1" w:styleId="Bezlisty277">
    <w:name w:val="Bez listy277"/>
    <w:uiPriority w:val="99"/>
  </w:style>
  <w:style w:type="paragraph" w:customStyle="1" w:styleId="Normalny278">
    <w:name w:val="Normalny278"/>
    <w:qFormat/>
    <w:pPr>
      <w:spacing w:after="200"/>
    </w:pPr>
  </w:style>
  <w:style w:type="character" w:customStyle="1" w:styleId="Domylnaczcionkaakapitu278">
    <w:name w:val="Domyślna czcionka akapitu278"/>
    <w:uiPriority w:val="1"/>
  </w:style>
  <w:style w:type="table" w:customStyle="1" w:styleId="Standardowy278">
    <w:name w:val="Standardowy278"/>
    <w:uiPriority w:val="99"/>
    <w:tblPr>
      <w:tblInd w:w="0" w:type="dxa"/>
      <w:tblCellMar>
        <w:top w:w="0" w:type="dxa"/>
        <w:left w:w="108" w:type="dxa"/>
        <w:bottom w:w="0" w:type="dxa"/>
        <w:right w:w="108" w:type="dxa"/>
      </w:tblCellMar>
    </w:tblPr>
  </w:style>
  <w:style w:type="numbering" w:customStyle="1" w:styleId="Bezlisty278">
    <w:name w:val="Bez listy278"/>
    <w:uiPriority w:val="99"/>
  </w:style>
  <w:style w:type="paragraph" w:customStyle="1" w:styleId="Normalny279">
    <w:name w:val="Normalny279"/>
    <w:qFormat/>
    <w:pPr>
      <w:spacing w:after="200"/>
    </w:pPr>
  </w:style>
  <w:style w:type="character" w:customStyle="1" w:styleId="Domylnaczcionkaakapitu279">
    <w:name w:val="Domyślna czcionka akapitu279"/>
    <w:uiPriority w:val="1"/>
  </w:style>
  <w:style w:type="table" w:customStyle="1" w:styleId="Standardowy279">
    <w:name w:val="Standardowy279"/>
    <w:uiPriority w:val="99"/>
    <w:tblPr>
      <w:tblInd w:w="0" w:type="dxa"/>
      <w:tblCellMar>
        <w:top w:w="0" w:type="dxa"/>
        <w:left w:w="108" w:type="dxa"/>
        <w:bottom w:w="0" w:type="dxa"/>
        <w:right w:w="108" w:type="dxa"/>
      </w:tblCellMar>
    </w:tblPr>
  </w:style>
  <w:style w:type="numbering" w:customStyle="1" w:styleId="Bezlisty279">
    <w:name w:val="Bez listy279"/>
    <w:uiPriority w:val="99"/>
  </w:style>
  <w:style w:type="paragraph" w:customStyle="1" w:styleId="Normalny280">
    <w:name w:val="Normalny280"/>
    <w:qFormat/>
    <w:pPr>
      <w:spacing w:after="200"/>
    </w:pPr>
  </w:style>
  <w:style w:type="character" w:customStyle="1" w:styleId="Domylnaczcionkaakapitu280">
    <w:name w:val="Domyślna czcionka akapitu280"/>
    <w:uiPriority w:val="1"/>
  </w:style>
  <w:style w:type="table" w:customStyle="1" w:styleId="Standardowy280">
    <w:name w:val="Standardowy280"/>
    <w:uiPriority w:val="99"/>
    <w:tblPr>
      <w:tblInd w:w="0" w:type="dxa"/>
      <w:tblCellMar>
        <w:top w:w="0" w:type="dxa"/>
        <w:left w:w="108" w:type="dxa"/>
        <w:bottom w:w="0" w:type="dxa"/>
        <w:right w:w="108" w:type="dxa"/>
      </w:tblCellMar>
    </w:tblPr>
  </w:style>
  <w:style w:type="numbering" w:customStyle="1" w:styleId="Bezlisty280">
    <w:name w:val="Bez listy280"/>
    <w:uiPriority w:val="99"/>
  </w:style>
  <w:style w:type="paragraph" w:customStyle="1" w:styleId="Normalny281">
    <w:name w:val="Normalny281"/>
    <w:qFormat/>
    <w:pPr>
      <w:spacing w:after="200"/>
    </w:pPr>
  </w:style>
  <w:style w:type="character" w:customStyle="1" w:styleId="Domylnaczcionkaakapitu281">
    <w:name w:val="Domyślna czcionka akapitu281"/>
    <w:uiPriority w:val="1"/>
  </w:style>
  <w:style w:type="table" w:customStyle="1" w:styleId="Standardowy281">
    <w:name w:val="Standardowy281"/>
    <w:uiPriority w:val="99"/>
    <w:tblPr>
      <w:tblInd w:w="0" w:type="dxa"/>
      <w:tblCellMar>
        <w:top w:w="0" w:type="dxa"/>
        <w:left w:w="108" w:type="dxa"/>
        <w:bottom w:w="0" w:type="dxa"/>
        <w:right w:w="108" w:type="dxa"/>
      </w:tblCellMar>
    </w:tblPr>
  </w:style>
  <w:style w:type="numbering" w:customStyle="1" w:styleId="Bezlisty281">
    <w:name w:val="Bez listy281"/>
    <w:uiPriority w:val="99"/>
  </w:style>
  <w:style w:type="paragraph" w:customStyle="1" w:styleId="Normalny282">
    <w:name w:val="Normalny282"/>
    <w:qFormat/>
    <w:pPr>
      <w:spacing w:after="200"/>
    </w:pPr>
  </w:style>
  <w:style w:type="character" w:customStyle="1" w:styleId="Domylnaczcionkaakapitu282">
    <w:name w:val="Domyślna czcionka akapitu282"/>
    <w:uiPriority w:val="1"/>
  </w:style>
  <w:style w:type="table" w:customStyle="1" w:styleId="Standardowy282">
    <w:name w:val="Standardowy282"/>
    <w:uiPriority w:val="99"/>
    <w:tblPr>
      <w:tblInd w:w="0" w:type="dxa"/>
      <w:tblCellMar>
        <w:top w:w="0" w:type="dxa"/>
        <w:left w:w="108" w:type="dxa"/>
        <w:bottom w:w="0" w:type="dxa"/>
        <w:right w:w="108" w:type="dxa"/>
      </w:tblCellMar>
    </w:tblPr>
  </w:style>
  <w:style w:type="numbering" w:customStyle="1" w:styleId="Bezlisty282">
    <w:name w:val="Bez listy282"/>
    <w:uiPriority w:val="99"/>
  </w:style>
  <w:style w:type="paragraph" w:customStyle="1" w:styleId="Normalny283">
    <w:name w:val="Normalny283"/>
    <w:qFormat/>
    <w:pPr>
      <w:spacing w:after="200"/>
    </w:pPr>
  </w:style>
  <w:style w:type="character" w:customStyle="1" w:styleId="Domylnaczcionkaakapitu283">
    <w:name w:val="Domyślna czcionka akapitu283"/>
    <w:uiPriority w:val="1"/>
  </w:style>
  <w:style w:type="table" w:customStyle="1" w:styleId="Standardowy283">
    <w:name w:val="Standardowy283"/>
    <w:uiPriority w:val="99"/>
    <w:tblPr>
      <w:tblInd w:w="0" w:type="dxa"/>
      <w:tblCellMar>
        <w:top w:w="0" w:type="dxa"/>
        <w:left w:w="108" w:type="dxa"/>
        <w:bottom w:w="0" w:type="dxa"/>
        <w:right w:w="108" w:type="dxa"/>
      </w:tblCellMar>
    </w:tblPr>
  </w:style>
  <w:style w:type="numbering" w:customStyle="1" w:styleId="Bezlisty283">
    <w:name w:val="Bez listy283"/>
    <w:uiPriority w:val="99"/>
  </w:style>
  <w:style w:type="paragraph" w:customStyle="1" w:styleId="Normalny284">
    <w:name w:val="Normalny284"/>
    <w:qFormat/>
    <w:pPr>
      <w:spacing w:after="200"/>
    </w:pPr>
  </w:style>
  <w:style w:type="character" w:customStyle="1" w:styleId="Domylnaczcionkaakapitu284">
    <w:name w:val="Domyślna czcionka akapitu284"/>
    <w:uiPriority w:val="1"/>
  </w:style>
  <w:style w:type="table" w:customStyle="1" w:styleId="Standardowy284">
    <w:name w:val="Standardowy284"/>
    <w:uiPriority w:val="99"/>
    <w:tblPr>
      <w:tblInd w:w="0" w:type="dxa"/>
      <w:tblCellMar>
        <w:top w:w="0" w:type="dxa"/>
        <w:left w:w="108" w:type="dxa"/>
        <w:bottom w:w="0" w:type="dxa"/>
        <w:right w:w="108" w:type="dxa"/>
      </w:tblCellMar>
    </w:tblPr>
  </w:style>
  <w:style w:type="numbering" w:customStyle="1" w:styleId="Bezlisty284">
    <w:name w:val="Bez listy284"/>
    <w:uiPriority w:val="99"/>
  </w:style>
  <w:style w:type="paragraph" w:customStyle="1" w:styleId="Normalny285">
    <w:name w:val="Normalny285"/>
    <w:qFormat/>
    <w:pPr>
      <w:spacing w:after="200"/>
    </w:pPr>
  </w:style>
  <w:style w:type="character" w:customStyle="1" w:styleId="Domylnaczcionkaakapitu285">
    <w:name w:val="Domyślna czcionka akapitu285"/>
    <w:uiPriority w:val="1"/>
  </w:style>
  <w:style w:type="table" w:customStyle="1" w:styleId="Standardowy285">
    <w:name w:val="Standardowy285"/>
    <w:uiPriority w:val="99"/>
    <w:tblPr>
      <w:tblInd w:w="0" w:type="dxa"/>
      <w:tblCellMar>
        <w:top w:w="0" w:type="dxa"/>
        <w:left w:w="108" w:type="dxa"/>
        <w:bottom w:w="0" w:type="dxa"/>
        <w:right w:w="108" w:type="dxa"/>
      </w:tblCellMar>
    </w:tblPr>
  </w:style>
  <w:style w:type="numbering" w:customStyle="1" w:styleId="Bezlisty285">
    <w:name w:val="Bez listy285"/>
    <w:uiPriority w:val="99"/>
  </w:style>
  <w:style w:type="paragraph" w:customStyle="1" w:styleId="Normalny286">
    <w:name w:val="Normalny286"/>
    <w:qFormat/>
    <w:pPr>
      <w:spacing w:after="200"/>
    </w:pPr>
  </w:style>
  <w:style w:type="character" w:customStyle="1" w:styleId="Domylnaczcionkaakapitu286">
    <w:name w:val="Domyślna czcionka akapitu286"/>
    <w:uiPriority w:val="1"/>
  </w:style>
  <w:style w:type="table" w:customStyle="1" w:styleId="Standardowy286">
    <w:name w:val="Standardowy286"/>
    <w:uiPriority w:val="99"/>
    <w:tblPr>
      <w:tblInd w:w="0" w:type="dxa"/>
      <w:tblCellMar>
        <w:top w:w="0" w:type="dxa"/>
        <w:left w:w="108" w:type="dxa"/>
        <w:bottom w:w="0" w:type="dxa"/>
        <w:right w:w="108" w:type="dxa"/>
      </w:tblCellMar>
    </w:tblPr>
  </w:style>
  <w:style w:type="numbering" w:customStyle="1" w:styleId="Bezlisty286">
    <w:name w:val="Bez listy286"/>
    <w:uiPriority w:val="99"/>
  </w:style>
  <w:style w:type="paragraph" w:customStyle="1" w:styleId="Normalny287">
    <w:name w:val="Normalny287"/>
    <w:qFormat/>
    <w:pPr>
      <w:spacing w:after="200"/>
    </w:pPr>
  </w:style>
  <w:style w:type="character" w:customStyle="1" w:styleId="Domylnaczcionkaakapitu287">
    <w:name w:val="Domyślna czcionka akapitu287"/>
    <w:uiPriority w:val="1"/>
  </w:style>
  <w:style w:type="table" w:customStyle="1" w:styleId="Standardowy287">
    <w:name w:val="Standardowy287"/>
    <w:uiPriority w:val="99"/>
    <w:tblPr>
      <w:tblInd w:w="0" w:type="dxa"/>
      <w:tblCellMar>
        <w:top w:w="0" w:type="dxa"/>
        <w:left w:w="108" w:type="dxa"/>
        <w:bottom w:w="0" w:type="dxa"/>
        <w:right w:w="108" w:type="dxa"/>
      </w:tblCellMar>
    </w:tblPr>
  </w:style>
  <w:style w:type="numbering" w:customStyle="1" w:styleId="Bezlisty287">
    <w:name w:val="Bez listy287"/>
    <w:uiPriority w:val="99"/>
  </w:style>
  <w:style w:type="paragraph" w:customStyle="1" w:styleId="Normalny288">
    <w:name w:val="Normalny288"/>
    <w:qFormat/>
    <w:pPr>
      <w:spacing w:after="200"/>
    </w:pPr>
  </w:style>
  <w:style w:type="character" w:customStyle="1" w:styleId="Domylnaczcionkaakapitu288">
    <w:name w:val="Domyślna czcionka akapitu288"/>
    <w:uiPriority w:val="1"/>
  </w:style>
  <w:style w:type="table" w:customStyle="1" w:styleId="Standardowy288">
    <w:name w:val="Standardowy288"/>
    <w:uiPriority w:val="99"/>
    <w:tblPr>
      <w:tblInd w:w="0" w:type="dxa"/>
      <w:tblCellMar>
        <w:top w:w="0" w:type="dxa"/>
        <w:left w:w="108" w:type="dxa"/>
        <w:bottom w:w="0" w:type="dxa"/>
        <w:right w:w="108" w:type="dxa"/>
      </w:tblCellMar>
    </w:tblPr>
  </w:style>
  <w:style w:type="numbering" w:customStyle="1" w:styleId="Bezlisty288">
    <w:name w:val="Bez listy288"/>
    <w:uiPriority w:val="99"/>
  </w:style>
  <w:style w:type="paragraph" w:customStyle="1" w:styleId="Normalny289">
    <w:name w:val="Normalny289"/>
    <w:qFormat/>
    <w:pPr>
      <w:spacing w:after="200"/>
    </w:pPr>
  </w:style>
  <w:style w:type="character" w:customStyle="1" w:styleId="Domylnaczcionkaakapitu289">
    <w:name w:val="Domyślna czcionka akapitu289"/>
    <w:uiPriority w:val="1"/>
  </w:style>
  <w:style w:type="table" w:customStyle="1" w:styleId="Standardowy289">
    <w:name w:val="Standardowy289"/>
    <w:uiPriority w:val="99"/>
    <w:tblPr>
      <w:tblInd w:w="0" w:type="dxa"/>
      <w:tblCellMar>
        <w:top w:w="0" w:type="dxa"/>
        <w:left w:w="108" w:type="dxa"/>
        <w:bottom w:w="0" w:type="dxa"/>
        <w:right w:w="108" w:type="dxa"/>
      </w:tblCellMar>
    </w:tblPr>
  </w:style>
  <w:style w:type="numbering" w:customStyle="1" w:styleId="Bezlisty289">
    <w:name w:val="Bez listy289"/>
    <w:uiPriority w:val="99"/>
  </w:style>
  <w:style w:type="paragraph" w:customStyle="1" w:styleId="Normalny290">
    <w:name w:val="Normalny290"/>
    <w:qFormat/>
    <w:pPr>
      <w:spacing w:after="200"/>
    </w:pPr>
  </w:style>
  <w:style w:type="character" w:customStyle="1" w:styleId="Domylnaczcionkaakapitu290">
    <w:name w:val="Domyślna czcionka akapitu290"/>
    <w:uiPriority w:val="1"/>
  </w:style>
  <w:style w:type="table" w:customStyle="1" w:styleId="Standardowy290">
    <w:name w:val="Standardowy290"/>
    <w:uiPriority w:val="99"/>
    <w:tblPr>
      <w:tblInd w:w="0" w:type="dxa"/>
      <w:tblCellMar>
        <w:top w:w="0" w:type="dxa"/>
        <w:left w:w="108" w:type="dxa"/>
        <w:bottom w:w="0" w:type="dxa"/>
        <w:right w:w="108" w:type="dxa"/>
      </w:tblCellMar>
    </w:tblPr>
  </w:style>
  <w:style w:type="numbering" w:customStyle="1" w:styleId="Bezlisty290">
    <w:name w:val="Bez listy290"/>
    <w:uiPriority w:val="99"/>
  </w:style>
  <w:style w:type="paragraph" w:customStyle="1" w:styleId="Normalny291">
    <w:name w:val="Normalny291"/>
    <w:qFormat/>
    <w:pPr>
      <w:spacing w:after="200"/>
    </w:pPr>
  </w:style>
  <w:style w:type="character" w:customStyle="1" w:styleId="Domylnaczcionkaakapitu291">
    <w:name w:val="Domyślna czcionka akapitu291"/>
    <w:uiPriority w:val="1"/>
  </w:style>
  <w:style w:type="table" w:customStyle="1" w:styleId="Standardowy291">
    <w:name w:val="Standardowy291"/>
    <w:uiPriority w:val="99"/>
    <w:tblPr>
      <w:tblInd w:w="0" w:type="dxa"/>
      <w:tblCellMar>
        <w:top w:w="0" w:type="dxa"/>
        <w:left w:w="108" w:type="dxa"/>
        <w:bottom w:w="0" w:type="dxa"/>
        <w:right w:w="108" w:type="dxa"/>
      </w:tblCellMar>
    </w:tblPr>
  </w:style>
  <w:style w:type="numbering" w:customStyle="1" w:styleId="Bezlisty291">
    <w:name w:val="Bez listy291"/>
    <w:uiPriority w:val="99"/>
  </w:style>
  <w:style w:type="paragraph" w:customStyle="1" w:styleId="Normalny292">
    <w:name w:val="Normalny292"/>
    <w:qFormat/>
    <w:pPr>
      <w:spacing w:after="200"/>
    </w:pPr>
  </w:style>
  <w:style w:type="character" w:customStyle="1" w:styleId="Domylnaczcionkaakapitu292">
    <w:name w:val="Domyślna czcionka akapitu292"/>
    <w:uiPriority w:val="1"/>
  </w:style>
  <w:style w:type="table" w:customStyle="1" w:styleId="Standardowy292">
    <w:name w:val="Standardowy292"/>
    <w:uiPriority w:val="99"/>
    <w:tblPr>
      <w:tblInd w:w="0" w:type="dxa"/>
      <w:tblCellMar>
        <w:top w:w="0" w:type="dxa"/>
        <w:left w:w="108" w:type="dxa"/>
        <w:bottom w:w="0" w:type="dxa"/>
        <w:right w:w="108" w:type="dxa"/>
      </w:tblCellMar>
    </w:tblPr>
  </w:style>
  <w:style w:type="numbering" w:customStyle="1" w:styleId="Bezlisty292">
    <w:name w:val="Bez listy292"/>
    <w:uiPriority w:val="99"/>
  </w:style>
  <w:style w:type="paragraph" w:customStyle="1" w:styleId="Normalny293">
    <w:name w:val="Normalny293"/>
    <w:qFormat/>
    <w:pPr>
      <w:spacing w:after="200"/>
    </w:pPr>
  </w:style>
  <w:style w:type="character" w:customStyle="1" w:styleId="Domylnaczcionkaakapitu293">
    <w:name w:val="Domyślna czcionka akapitu293"/>
    <w:uiPriority w:val="1"/>
  </w:style>
  <w:style w:type="table" w:customStyle="1" w:styleId="Standardowy293">
    <w:name w:val="Standardowy293"/>
    <w:uiPriority w:val="99"/>
    <w:tblPr>
      <w:tblInd w:w="0" w:type="dxa"/>
      <w:tblCellMar>
        <w:top w:w="0" w:type="dxa"/>
        <w:left w:w="108" w:type="dxa"/>
        <w:bottom w:w="0" w:type="dxa"/>
        <w:right w:w="108" w:type="dxa"/>
      </w:tblCellMar>
    </w:tblPr>
  </w:style>
  <w:style w:type="numbering" w:customStyle="1" w:styleId="Bezlisty293">
    <w:name w:val="Bez listy293"/>
    <w:uiPriority w:val="99"/>
  </w:style>
  <w:style w:type="paragraph" w:customStyle="1" w:styleId="Normalny294">
    <w:name w:val="Normalny294"/>
    <w:qFormat/>
    <w:pPr>
      <w:spacing w:after="200"/>
    </w:pPr>
  </w:style>
  <w:style w:type="character" w:customStyle="1" w:styleId="Domylnaczcionkaakapitu294">
    <w:name w:val="Domyślna czcionka akapitu294"/>
    <w:uiPriority w:val="1"/>
  </w:style>
  <w:style w:type="table" w:customStyle="1" w:styleId="Standardowy294">
    <w:name w:val="Standardowy294"/>
    <w:uiPriority w:val="99"/>
    <w:tblPr>
      <w:tblInd w:w="0" w:type="dxa"/>
      <w:tblCellMar>
        <w:top w:w="0" w:type="dxa"/>
        <w:left w:w="108" w:type="dxa"/>
        <w:bottom w:w="0" w:type="dxa"/>
        <w:right w:w="108" w:type="dxa"/>
      </w:tblCellMar>
    </w:tblPr>
  </w:style>
  <w:style w:type="numbering" w:customStyle="1" w:styleId="Bezlisty294">
    <w:name w:val="Bez listy294"/>
    <w:uiPriority w:val="99"/>
  </w:style>
  <w:style w:type="paragraph" w:customStyle="1" w:styleId="Normalny295">
    <w:name w:val="Normalny295"/>
    <w:qFormat/>
    <w:pPr>
      <w:spacing w:after="200"/>
    </w:pPr>
  </w:style>
  <w:style w:type="character" w:customStyle="1" w:styleId="Domylnaczcionkaakapitu295">
    <w:name w:val="Domyślna czcionka akapitu295"/>
    <w:uiPriority w:val="1"/>
  </w:style>
  <w:style w:type="table" w:customStyle="1" w:styleId="Standardowy295">
    <w:name w:val="Standardowy295"/>
    <w:uiPriority w:val="99"/>
    <w:tblPr>
      <w:tblInd w:w="0" w:type="dxa"/>
      <w:tblCellMar>
        <w:top w:w="0" w:type="dxa"/>
        <w:left w:w="108" w:type="dxa"/>
        <w:bottom w:w="0" w:type="dxa"/>
        <w:right w:w="108" w:type="dxa"/>
      </w:tblCellMar>
    </w:tblPr>
  </w:style>
  <w:style w:type="numbering" w:customStyle="1" w:styleId="Bezlisty295">
    <w:name w:val="Bez listy295"/>
    <w:uiPriority w:val="99"/>
  </w:style>
  <w:style w:type="paragraph" w:customStyle="1" w:styleId="Normalny296">
    <w:name w:val="Normalny296"/>
    <w:qFormat/>
    <w:pPr>
      <w:spacing w:after="200"/>
    </w:pPr>
  </w:style>
  <w:style w:type="character" w:customStyle="1" w:styleId="Domylnaczcionkaakapitu296">
    <w:name w:val="Domyślna czcionka akapitu296"/>
    <w:uiPriority w:val="1"/>
  </w:style>
  <w:style w:type="table" w:customStyle="1" w:styleId="Standardowy296">
    <w:name w:val="Standardowy296"/>
    <w:uiPriority w:val="99"/>
    <w:tblPr>
      <w:tblInd w:w="0" w:type="dxa"/>
      <w:tblCellMar>
        <w:top w:w="0" w:type="dxa"/>
        <w:left w:w="108" w:type="dxa"/>
        <w:bottom w:w="0" w:type="dxa"/>
        <w:right w:w="108" w:type="dxa"/>
      </w:tblCellMar>
    </w:tblPr>
  </w:style>
  <w:style w:type="numbering" w:customStyle="1" w:styleId="Bezlisty296">
    <w:name w:val="Bez listy296"/>
    <w:uiPriority w:val="99"/>
  </w:style>
  <w:style w:type="paragraph" w:customStyle="1" w:styleId="Normalny297">
    <w:name w:val="Normalny297"/>
    <w:qFormat/>
    <w:pPr>
      <w:spacing w:after="200"/>
    </w:pPr>
  </w:style>
  <w:style w:type="character" w:customStyle="1" w:styleId="Domylnaczcionkaakapitu297">
    <w:name w:val="Domyślna czcionka akapitu297"/>
    <w:uiPriority w:val="1"/>
  </w:style>
  <w:style w:type="table" w:customStyle="1" w:styleId="Standardowy297">
    <w:name w:val="Standardowy297"/>
    <w:uiPriority w:val="99"/>
    <w:tblPr>
      <w:tblInd w:w="0" w:type="dxa"/>
      <w:tblCellMar>
        <w:top w:w="0" w:type="dxa"/>
        <w:left w:w="108" w:type="dxa"/>
        <w:bottom w:w="0" w:type="dxa"/>
        <w:right w:w="108" w:type="dxa"/>
      </w:tblCellMar>
    </w:tblPr>
  </w:style>
  <w:style w:type="numbering" w:customStyle="1" w:styleId="Bezlisty297">
    <w:name w:val="Bez listy297"/>
    <w:uiPriority w:val="99"/>
  </w:style>
  <w:style w:type="paragraph" w:customStyle="1" w:styleId="Normalny298">
    <w:name w:val="Normalny298"/>
    <w:qFormat/>
    <w:pPr>
      <w:spacing w:after="200"/>
    </w:pPr>
  </w:style>
  <w:style w:type="character" w:customStyle="1" w:styleId="Domylnaczcionkaakapitu298">
    <w:name w:val="Domyślna czcionka akapitu298"/>
    <w:uiPriority w:val="1"/>
  </w:style>
  <w:style w:type="table" w:customStyle="1" w:styleId="Standardowy298">
    <w:name w:val="Standardowy298"/>
    <w:uiPriority w:val="99"/>
    <w:tblPr>
      <w:tblInd w:w="0" w:type="dxa"/>
      <w:tblCellMar>
        <w:top w:w="0" w:type="dxa"/>
        <w:left w:w="108" w:type="dxa"/>
        <w:bottom w:w="0" w:type="dxa"/>
        <w:right w:w="108" w:type="dxa"/>
      </w:tblCellMar>
    </w:tblPr>
  </w:style>
  <w:style w:type="numbering" w:customStyle="1" w:styleId="Bezlisty298">
    <w:name w:val="Bez listy298"/>
    <w:uiPriority w:val="99"/>
  </w:style>
  <w:style w:type="paragraph" w:customStyle="1" w:styleId="Normalny299">
    <w:name w:val="Normalny299"/>
    <w:qFormat/>
    <w:pPr>
      <w:spacing w:after="200"/>
    </w:pPr>
  </w:style>
  <w:style w:type="character" w:customStyle="1" w:styleId="Domylnaczcionkaakapitu299">
    <w:name w:val="Domyślna czcionka akapitu299"/>
    <w:uiPriority w:val="1"/>
  </w:style>
  <w:style w:type="table" w:customStyle="1" w:styleId="Standardowy299">
    <w:name w:val="Standardowy299"/>
    <w:uiPriority w:val="99"/>
    <w:tblPr>
      <w:tblInd w:w="0" w:type="dxa"/>
      <w:tblCellMar>
        <w:top w:w="0" w:type="dxa"/>
        <w:left w:w="108" w:type="dxa"/>
        <w:bottom w:w="0" w:type="dxa"/>
        <w:right w:w="108" w:type="dxa"/>
      </w:tblCellMar>
    </w:tblPr>
  </w:style>
  <w:style w:type="numbering" w:customStyle="1" w:styleId="Bezlisty299">
    <w:name w:val="Bez listy299"/>
    <w:uiPriority w:val="99"/>
  </w:style>
  <w:style w:type="paragraph" w:customStyle="1" w:styleId="Normalny300">
    <w:name w:val="Normalny300"/>
    <w:qFormat/>
    <w:pPr>
      <w:spacing w:after="200"/>
    </w:pPr>
  </w:style>
  <w:style w:type="character" w:customStyle="1" w:styleId="Domylnaczcionkaakapitu300">
    <w:name w:val="Domyślna czcionka akapitu300"/>
    <w:uiPriority w:val="1"/>
  </w:style>
  <w:style w:type="table" w:customStyle="1" w:styleId="Standardowy300">
    <w:name w:val="Standardowy300"/>
    <w:uiPriority w:val="99"/>
    <w:tblPr>
      <w:tblInd w:w="0" w:type="dxa"/>
      <w:tblCellMar>
        <w:top w:w="0" w:type="dxa"/>
        <w:left w:w="108" w:type="dxa"/>
        <w:bottom w:w="0" w:type="dxa"/>
        <w:right w:w="108" w:type="dxa"/>
      </w:tblCellMar>
    </w:tblPr>
  </w:style>
  <w:style w:type="numbering" w:customStyle="1" w:styleId="Bezlisty300">
    <w:name w:val="Bez listy300"/>
    <w:uiPriority w:val="99"/>
  </w:style>
  <w:style w:type="paragraph" w:customStyle="1" w:styleId="Normalny301">
    <w:name w:val="Normalny301"/>
    <w:qFormat/>
    <w:pPr>
      <w:spacing w:after="200"/>
    </w:pPr>
  </w:style>
  <w:style w:type="character" w:customStyle="1" w:styleId="Domylnaczcionkaakapitu301">
    <w:name w:val="Domyślna czcionka akapitu301"/>
    <w:uiPriority w:val="1"/>
  </w:style>
  <w:style w:type="table" w:customStyle="1" w:styleId="Standardowy301">
    <w:name w:val="Standardowy301"/>
    <w:uiPriority w:val="99"/>
    <w:tblPr>
      <w:tblInd w:w="0" w:type="dxa"/>
      <w:tblCellMar>
        <w:top w:w="0" w:type="dxa"/>
        <w:left w:w="108" w:type="dxa"/>
        <w:bottom w:w="0" w:type="dxa"/>
        <w:right w:w="108" w:type="dxa"/>
      </w:tblCellMar>
    </w:tblPr>
  </w:style>
  <w:style w:type="numbering" w:customStyle="1" w:styleId="Bezlisty301">
    <w:name w:val="Bez listy301"/>
    <w:uiPriority w:val="99"/>
  </w:style>
  <w:style w:type="paragraph" w:customStyle="1" w:styleId="Normalny302">
    <w:name w:val="Normalny302"/>
    <w:qFormat/>
    <w:pPr>
      <w:spacing w:after="200"/>
    </w:pPr>
  </w:style>
  <w:style w:type="character" w:customStyle="1" w:styleId="Domylnaczcionkaakapitu302">
    <w:name w:val="Domyślna czcionka akapitu302"/>
    <w:uiPriority w:val="1"/>
  </w:style>
  <w:style w:type="table" w:customStyle="1" w:styleId="Standardowy302">
    <w:name w:val="Standardowy302"/>
    <w:uiPriority w:val="99"/>
    <w:tblPr>
      <w:tblInd w:w="0" w:type="dxa"/>
      <w:tblCellMar>
        <w:top w:w="0" w:type="dxa"/>
        <w:left w:w="108" w:type="dxa"/>
        <w:bottom w:w="0" w:type="dxa"/>
        <w:right w:w="108" w:type="dxa"/>
      </w:tblCellMar>
    </w:tblPr>
  </w:style>
  <w:style w:type="numbering" w:customStyle="1" w:styleId="Bezlisty302">
    <w:name w:val="Bez listy302"/>
    <w:uiPriority w:val="99"/>
  </w:style>
  <w:style w:type="paragraph" w:customStyle="1" w:styleId="Normalny303">
    <w:name w:val="Normalny303"/>
    <w:qFormat/>
    <w:pPr>
      <w:spacing w:after="200"/>
    </w:pPr>
  </w:style>
  <w:style w:type="character" w:customStyle="1" w:styleId="Domylnaczcionkaakapitu303">
    <w:name w:val="Domyślna czcionka akapitu303"/>
    <w:uiPriority w:val="1"/>
  </w:style>
  <w:style w:type="table" w:customStyle="1" w:styleId="Standardowy303">
    <w:name w:val="Standardowy303"/>
    <w:uiPriority w:val="99"/>
    <w:tblPr>
      <w:tblInd w:w="0" w:type="dxa"/>
      <w:tblCellMar>
        <w:top w:w="0" w:type="dxa"/>
        <w:left w:w="108" w:type="dxa"/>
        <w:bottom w:w="0" w:type="dxa"/>
        <w:right w:w="108" w:type="dxa"/>
      </w:tblCellMar>
    </w:tblPr>
  </w:style>
  <w:style w:type="numbering" w:customStyle="1" w:styleId="Bezlisty303">
    <w:name w:val="Bez listy303"/>
    <w:uiPriority w:val="99"/>
  </w:style>
  <w:style w:type="paragraph" w:customStyle="1" w:styleId="Normalny304">
    <w:name w:val="Normalny304"/>
    <w:qFormat/>
    <w:pPr>
      <w:spacing w:after="200"/>
    </w:pPr>
  </w:style>
  <w:style w:type="character" w:customStyle="1" w:styleId="Domylnaczcionkaakapitu304">
    <w:name w:val="Domyślna czcionka akapitu304"/>
    <w:uiPriority w:val="1"/>
  </w:style>
  <w:style w:type="table" w:customStyle="1" w:styleId="Standardowy304">
    <w:name w:val="Standardowy304"/>
    <w:uiPriority w:val="99"/>
    <w:tblPr>
      <w:tblInd w:w="0" w:type="dxa"/>
      <w:tblCellMar>
        <w:top w:w="0" w:type="dxa"/>
        <w:left w:w="108" w:type="dxa"/>
        <w:bottom w:w="0" w:type="dxa"/>
        <w:right w:w="108" w:type="dxa"/>
      </w:tblCellMar>
    </w:tblPr>
  </w:style>
  <w:style w:type="numbering" w:customStyle="1" w:styleId="Bezlisty304">
    <w:name w:val="Bez listy304"/>
    <w:uiPriority w:val="99"/>
  </w:style>
  <w:style w:type="paragraph" w:customStyle="1" w:styleId="Normalny305">
    <w:name w:val="Normalny305"/>
    <w:qFormat/>
    <w:pPr>
      <w:spacing w:after="200"/>
    </w:pPr>
  </w:style>
  <w:style w:type="character" w:customStyle="1" w:styleId="Domylnaczcionkaakapitu305">
    <w:name w:val="Domyślna czcionka akapitu305"/>
    <w:uiPriority w:val="1"/>
  </w:style>
  <w:style w:type="table" w:customStyle="1" w:styleId="Standardowy305">
    <w:name w:val="Standardowy305"/>
    <w:uiPriority w:val="99"/>
    <w:tblPr>
      <w:tblInd w:w="0" w:type="dxa"/>
      <w:tblCellMar>
        <w:top w:w="0" w:type="dxa"/>
        <w:left w:w="108" w:type="dxa"/>
        <w:bottom w:w="0" w:type="dxa"/>
        <w:right w:w="108" w:type="dxa"/>
      </w:tblCellMar>
    </w:tblPr>
  </w:style>
  <w:style w:type="numbering" w:customStyle="1" w:styleId="Bezlisty305">
    <w:name w:val="Bez listy305"/>
    <w:uiPriority w:val="99"/>
  </w:style>
  <w:style w:type="paragraph" w:customStyle="1" w:styleId="Normalny306">
    <w:name w:val="Normalny306"/>
    <w:qFormat/>
    <w:pPr>
      <w:spacing w:after="200"/>
    </w:pPr>
  </w:style>
  <w:style w:type="character" w:customStyle="1" w:styleId="Domylnaczcionkaakapitu306">
    <w:name w:val="Domyślna czcionka akapitu306"/>
    <w:uiPriority w:val="1"/>
  </w:style>
  <w:style w:type="table" w:customStyle="1" w:styleId="Standardowy306">
    <w:name w:val="Standardowy306"/>
    <w:uiPriority w:val="99"/>
    <w:tblPr>
      <w:tblInd w:w="0" w:type="dxa"/>
      <w:tblCellMar>
        <w:top w:w="0" w:type="dxa"/>
        <w:left w:w="108" w:type="dxa"/>
        <w:bottom w:w="0" w:type="dxa"/>
        <w:right w:w="108" w:type="dxa"/>
      </w:tblCellMar>
    </w:tblPr>
  </w:style>
  <w:style w:type="numbering" w:customStyle="1" w:styleId="Bezlisty306">
    <w:name w:val="Bez listy306"/>
    <w:uiPriority w:val="99"/>
  </w:style>
  <w:style w:type="paragraph" w:customStyle="1" w:styleId="Normalny307">
    <w:name w:val="Normalny307"/>
    <w:qFormat/>
    <w:pPr>
      <w:spacing w:after="200"/>
    </w:pPr>
  </w:style>
  <w:style w:type="character" w:customStyle="1" w:styleId="Domylnaczcionkaakapitu307">
    <w:name w:val="Domyślna czcionka akapitu307"/>
    <w:uiPriority w:val="1"/>
  </w:style>
  <w:style w:type="table" w:customStyle="1" w:styleId="Standardowy307">
    <w:name w:val="Standardowy307"/>
    <w:uiPriority w:val="99"/>
    <w:tblPr>
      <w:tblInd w:w="0" w:type="dxa"/>
      <w:tblCellMar>
        <w:top w:w="0" w:type="dxa"/>
        <w:left w:w="108" w:type="dxa"/>
        <w:bottom w:w="0" w:type="dxa"/>
        <w:right w:w="108" w:type="dxa"/>
      </w:tblCellMar>
    </w:tblPr>
  </w:style>
  <w:style w:type="numbering" w:customStyle="1" w:styleId="Bezlisty307">
    <w:name w:val="Bez listy307"/>
    <w:uiPriority w:val="99"/>
  </w:style>
  <w:style w:type="paragraph" w:customStyle="1" w:styleId="Normalny308">
    <w:name w:val="Normalny308"/>
    <w:qFormat/>
    <w:pPr>
      <w:spacing w:after="200"/>
    </w:pPr>
  </w:style>
  <w:style w:type="character" w:customStyle="1" w:styleId="Domylnaczcionkaakapitu308">
    <w:name w:val="Domyślna czcionka akapitu308"/>
    <w:uiPriority w:val="1"/>
  </w:style>
  <w:style w:type="table" w:customStyle="1" w:styleId="Standardowy308">
    <w:name w:val="Standardowy308"/>
    <w:uiPriority w:val="99"/>
    <w:tblPr>
      <w:tblInd w:w="0" w:type="dxa"/>
      <w:tblCellMar>
        <w:top w:w="0" w:type="dxa"/>
        <w:left w:w="108" w:type="dxa"/>
        <w:bottom w:w="0" w:type="dxa"/>
        <w:right w:w="108" w:type="dxa"/>
      </w:tblCellMar>
    </w:tblPr>
  </w:style>
  <w:style w:type="numbering" w:customStyle="1" w:styleId="Bezlisty308">
    <w:name w:val="Bez listy308"/>
    <w:uiPriority w:val="99"/>
  </w:style>
  <w:style w:type="paragraph" w:customStyle="1" w:styleId="Normalny309">
    <w:name w:val="Normalny309"/>
    <w:qFormat/>
    <w:pPr>
      <w:spacing w:after="200"/>
    </w:pPr>
  </w:style>
  <w:style w:type="character" w:customStyle="1" w:styleId="Domylnaczcionkaakapitu309">
    <w:name w:val="Domyślna czcionka akapitu309"/>
    <w:uiPriority w:val="1"/>
  </w:style>
  <w:style w:type="table" w:customStyle="1" w:styleId="Standardowy309">
    <w:name w:val="Standardowy309"/>
    <w:uiPriority w:val="99"/>
    <w:tblPr>
      <w:tblInd w:w="0" w:type="dxa"/>
      <w:tblCellMar>
        <w:top w:w="0" w:type="dxa"/>
        <w:left w:w="108" w:type="dxa"/>
        <w:bottom w:w="0" w:type="dxa"/>
        <w:right w:w="108" w:type="dxa"/>
      </w:tblCellMar>
    </w:tblPr>
  </w:style>
  <w:style w:type="numbering" w:customStyle="1" w:styleId="Bezlisty309">
    <w:name w:val="Bez listy309"/>
    <w:uiPriority w:val="99"/>
  </w:style>
  <w:style w:type="paragraph" w:customStyle="1" w:styleId="Normalny310">
    <w:name w:val="Normalny310"/>
    <w:qFormat/>
    <w:pPr>
      <w:spacing w:after="200"/>
    </w:pPr>
  </w:style>
  <w:style w:type="character" w:customStyle="1" w:styleId="Domylnaczcionkaakapitu310">
    <w:name w:val="Domyślna czcionka akapitu310"/>
    <w:uiPriority w:val="1"/>
  </w:style>
  <w:style w:type="table" w:customStyle="1" w:styleId="Standardowy310">
    <w:name w:val="Standardowy310"/>
    <w:uiPriority w:val="99"/>
    <w:tblPr>
      <w:tblInd w:w="0" w:type="dxa"/>
      <w:tblCellMar>
        <w:top w:w="0" w:type="dxa"/>
        <w:left w:w="108" w:type="dxa"/>
        <w:bottom w:w="0" w:type="dxa"/>
        <w:right w:w="108" w:type="dxa"/>
      </w:tblCellMar>
    </w:tblPr>
  </w:style>
  <w:style w:type="numbering" w:customStyle="1" w:styleId="Bezlisty310">
    <w:name w:val="Bez listy310"/>
    <w:uiPriority w:val="99"/>
  </w:style>
  <w:style w:type="paragraph" w:customStyle="1" w:styleId="Normalny311">
    <w:name w:val="Normalny311"/>
    <w:qFormat/>
    <w:pPr>
      <w:spacing w:after="200"/>
    </w:pPr>
  </w:style>
  <w:style w:type="character" w:customStyle="1" w:styleId="Domylnaczcionkaakapitu311">
    <w:name w:val="Domyślna czcionka akapitu311"/>
    <w:uiPriority w:val="1"/>
  </w:style>
  <w:style w:type="table" w:customStyle="1" w:styleId="Standardowy311">
    <w:name w:val="Standardowy311"/>
    <w:uiPriority w:val="99"/>
    <w:tblPr>
      <w:tblInd w:w="0" w:type="dxa"/>
      <w:tblCellMar>
        <w:top w:w="0" w:type="dxa"/>
        <w:left w:w="108" w:type="dxa"/>
        <w:bottom w:w="0" w:type="dxa"/>
        <w:right w:w="108" w:type="dxa"/>
      </w:tblCellMar>
    </w:tblPr>
  </w:style>
  <w:style w:type="numbering" w:customStyle="1" w:styleId="Bezlisty311">
    <w:name w:val="Bez listy311"/>
    <w:uiPriority w:val="99"/>
  </w:style>
  <w:style w:type="paragraph" w:customStyle="1" w:styleId="Normalny312">
    <w:name w:val="Normalny312"/>
    <w:qFormat/>
    <w:pPr>
      <w:spacing w:after="200"/>
    </w:pPr>
  </w:style>
  <w:style w:type="character" w:customStyle="1" w:styleId="Domylnaczcionkaakapitu312">
    <w:name w:val="Domyślna czcionka akapitu312"/>
    <w:uiPriority w:val="1"/>
  </w:style>
  <w:style w:type="table" w:customStyle="1" w:styleId="Standardowy312">
    <w:name w:val="Standardowy312"/>
    <w:uiPriority w:val="99"/>
    <w:tblPr>
      <w:tblInd w:w="0" w:type="dxa"/>
      <w:tblCellMar>
        <w:top w:w="0" w:type="dxa"/>
        <w:left w:w="108" w:type="dxa"/>
        <w:bottom w:w="0" w:type="dxa"/>
        <w:right w:w="108" w:type="dxa"/>
      </w:tblCellMar>
    </w:tblPr>
  </w:style>
  <w:style w:type="numbering" w:customStyle="1" w:styleId="Bezlisty312">
    <w:name w:val="Bez listy312"/>
    <w:uiPriority w:val="99"/>
  </w:style>
  <w:style w:type="paragraph" w:customStyle="1" w:styleId="Normalny313">
    <w:name w:val="Normalny313"/>
    <w:qFormat/>
    <w:pPr>
      <w:spacing w:after="200"/>
    </w:pPr>
  </w:style>
  <w:style w:type="character" w:customStyle="1" w:styleId="Domylnaczcionkaakapitu313">
    <w:name w:val="Domyślna czcionka akapitu313"/>
    <w:uiPriority w:val="1"/>
  </w:style>
  <w:style w:type="table" w:customStyle="1" w:styleId="Standardowy313">
    <w:name w:val="Standardowy313"/>
    <w:uiPriority w:val="99"/>
    <w:tblPr>
      <w:tblInd w:w="0" w:type="dxa"/>
      <w:tblCellMar>
        <w:top w:w="0" w:type="dxa"/>
        <w:left w:w="108" w:type="dxa"/>
        <w:bottom w:w="0" w:type="dxa"/>
        <w:right w:w="108" w:type="dxa"/>
      </w:tblCellMar>
    </w:tblPr>
  </w:style>
  <w:style w:type="numbering" w:customStyle="1" w:styleId="Bezlisty313">
    <w:name w:val="Bez listy313"/>
    <w:uiPriority w:val="99"/>
  </w:style>
  <w:style w:type="paragraph" w:customStyle="1" w:styleId="Normalny314">
    <w:name w:val="Normalny314"/>
    <w:qFormat/>
    <w:pPr>
      <w:spacing w:after="200"/>
    </w:pPr>
  </w:style>
  <w:style w:type="character" w:customStyle="1" w:styleId="Domylnaczcionkaakapitu314">
    <w:name w:val="Domyślna czcionka akapitu314"/>
    <w:uiPriority w:val="1"/>
  </w:style>
  <w:style w:type="table" w:customStyle="1" w:styleId="Standardowy314">
    <w:name w:val="Standardowy314"/>
    <w:uiPriority w:val="99"/>
    <w:tblPr>
      <w:tblInd w:w="0" w:type="dxa"/>
      <w:tblCellMar>
        <w:top w:w="0" w:type="dxa"/>
        <w:left w:w="108" w:type="dxa"/>
        <w:bottom w:w="0" w:type="dxa"/>
        <w:right w:w="108" w:type="dxa"/>
      </w:tblCellMar>
    </w:tblPr>
  </w:style>
  <w:style w:type="numbering" w:customStyle="1" w:styleId="Bezlisty314">
    <w:name w:val="Bez listy314"/>
    <w:uiPriority w:val="99"/>
  </w:style>
  <w:style w:type="paragraph" w:customStyle="1" w:styleId="Normalny315">
    <w:name w:val="Normalny315"/>
    <w:qFormat/>
    <w:pPr>
      <w:spacing w:after="200"/>
    </w:pPr>
  </w:style>
  <w:style w:type="character" w:customStyle="1" w:styleId="Domylnaczcionkaakapitu315">
    <w:name w:val="Domyślna czcionka akapitu315"/>
    <w:uiPriority w:val="1"/>
  </w:style>
  <w:style w:type="table" w:customStyle="1" w:styleId="Standardowy315">
    <w:name w:val="Standardowy315"/>
    <w:uiPriority w:val="99"/>
    <w:tblPr>
      <w:tblInd w:w="0" w:type="dxa"/>
      <w:tblCellMar>
        <w:top w:w="0" w:type="dxa"/>
        <w:left w:w="108" w:type="dxa"/>
        <w:bottom w:w="0" w:type="dxa"/>
        <w:right w:w="108" w:type="dxa"/>
      </w:tblCellMar>
    </w:tblPr>
  </w:style>
  <w:style w:type="numbering" w:customStyle="1" w:styleId="Bezlisty315">
    <w:name w:val="Bez listy315"/>
    <w:uiPriority w:val="99"/>
  </w:style>
  <w:style w:type="paragraph" w:customStyle="1" w:styleId="Normalny316">
    <w:name w:val="Normalny316"/>
    <w:qFormat/>
    <w:pPr>
      <w:spacing w:after="200"/>
    </w:pPr>
  </w:style>
  <w:style w:type="character" w:customStyle="1" w:styleId="Domylnaczcionkaakapitu316">
    <w:name w:val="Domyślna czcionka akapitu316"/>
    <w:uiPriority w:val="1"/>
  </w:style>
  <w:style w:type="table" w:customStyle="1" w:styleId="Standardowy316">
    <w:name w:val="Standardowy316"/>
    <w:uiPriority w:val="99"/>
    <w:tblPr>
      <w:tblInd w:w="0" w:type="dxa"/>
      <w:tblCellMar>
        <w:top w:w="0" w:type="dxa"/>
        <w:left w:w="108" w:type="dxa"/>
        <w:bottom w:w="0" w:type="dxa"/>
        <w:right w:w="108" w:type="dxa"/>
      </w:tblCellMar>
    </w:tblPr>
  </w:style>
  <w:style w:type="numbering" w:customStyle="1" w:styleId="Bezlisty316">
    <w:name w:val="Bez listy316"/>
    <w:uiPriority w:val="99"/>
  </w:style>
  <w:style w:type="paragraph" w:customStyle="1" w:styleId="Normalny317">
    <w:name w:val="Normalny317"/>
    <w:qFormat/>
    <w:pPr>
      <w:spacing w:after="200"/>
    </w:pPr>
  </w:style>
  <w:style w:type="character" w:customStyle="1" w:styleId="Domylnaczcionkaakapitu317">
    <w:name w:val="Domyślna czcionka akapitu317"/>
    <w:uiPriority w:val="1"/>
  </w:style>
  <w:style w:type="table" w:customStyle="1" w:styleId="Standardowy317">
    <w:name w:val="Standardowy317"/>
    <w:uiPriority w:val="99"/>
    <w:tblPr>
      <w:tblInd w:w="0" w:type="dxa"/>
      <w:tblCellMar>
        <w:top w:w="0" w:type="dxa"/>
        <w:left w:w="108" w:type="dxa"/>
        <w:bottom w:w="0" w:type="dxa"/>
        <w:right w:w="108" w:type="dxa"/>
      </w:tblCellMar>
    </w:tblPr>
  </w:style>
  <w:style w:type="numbering" w:customStyle="1" w:styleId="Bezlisty317">
    <w:name w:val="Bez listy317"/>
    <w:uiPriority w:val="99"/>
  </w:style>
  <w:style w:type="paragraph" w:customStyle="1" w:styleId="Normalny318">
    <w:name w:val="Normalny318"/>
    <w:qFormat/>
    <w:pPr>
      <w:spacing w:after="200"/>
    </w:pPr>
  </w:style>
  <w:style w:type="character" w:customStyle="1" w:styleId="Domylnaczcionkaakapitu318">
    <w:name w:val="Domyślna czcionka akapitu318"/>
    <w:uiPriority w:val="1"/>
  </w:style>
  <w:style w:type="table" w:customStyle="1" w:styleId="Standardowy318">
    <w:name w:val="Standardowy318"/>
    <w:uiPriority w:val="99"/>
    <w:tblPr>
      <w:tblInd w:w="0" w:type="dxa"/>
      <w:tblCellMar>
        <w:top w:w="0" w:type="dxa"/>
        <w:left w:w="108" w:type="dxa"/>
        <w:bottom w:w="0" w:type="dxa"/>
        <w:right w:w="108" w:type="dxa"/>
      </w:tblCellMar>
    </w:tblPr>
  </w:style>
  <w:style w:type="numbering" w:customStyle="1" w:styleId="Bezlisty318">
    <w:name w:val="Bez listy318"/>
    <w:uiPriority w:val="99"/>
  </w:style>
  <w:style w:type="paragraph" w:customStyle="1" w:styleId="Normalny319">
    <w:name w:val="Normalny319"/>
    <w:qFormat/>
    <w:pPr>
      <w:spacing w:after="200"/>
    </w:pPr>
  </w:style>
  <w:style w:type="character" w:customStyle="1" w:styleId="Domylnaczcionkaakapitu319">
    <w:name w:val="Domyślna czcionka akapitu319"/>
    <w:uiPriority w:val="1"/>
  </w:style>
  <w:style w:type="table" w:customStyle="1" w:styleId="Standardowy319">
    <w:name w:val="Standardowy319"/>
    <w:uiPriority w:val="99"/>
    <w:tblPr>
      <w:tblInd w:w="0" w:type="dxa"/>
      <w:tblCellMar>
        <w:top w:w="0" w:type="dxa"/>
        <w:left w:w="108" w:type="dxa"/>
        <w:bottom w:w="0" w:type="dxa"/>
        <w:right w:w="108" w:type="dxa"/>
      </w:tblCellMar>
    </w:tblPr>
  </w:style>
  <w:style w:type="numbering" w:customStyle="1" w:styleId="Bezlisty319">
    <w:name w:val="Bez listy319"/>
    <w:uiPriority w:val="99"/>
  </w:style>
  <w:style w:type="paragraph" w:customStyle="1" w:styleId="Normalny320">
    <w:name w:val="Normalny320"/>
    <w:qFormat/>
    <w:pPr>
      <w:spacing w:after="200"/>
    </w:pPr>
  </w:style>
  <w:style w:type="character" w:customStyle="1" w:styleId="Domylnaczcionkaakapitu320">
    <w:name w:val="Domyślna czcionka akapitu320"/>
    <w:uiPriority w:val="1"/>
  </w:style>
  <w:style w:type="table" w:customStyle="1" w:styleId="Standardowy320">
    <w:name w:val="Standardowy320"/>
    <w:uiPriority w:val="99"/>
    <w:tblPr>
      <w:tblInd w:w="0" w:type="dxa"/>
      <w:tblCellMar>
        <w:top w:w="0" w:type="dxa"/>
        <w:left w:w="108" w:type="dxa"/>
        <w:bottom w:w="0" w:type="dxa"/>
        <w:right w:w="108" w:type="dxa"/>
      </w:tblCellMar>
    </w:tblPr>
  </w:style>
  <w:style w:type="numbering" w:customStyle="1" w:styleId="Bezlisty320">
    <w:name w:val="Bez listy320"/>
    <w:uiPriority w:val="99"/>
  </w:style>
  <w:style w:type="paragraph" w:customStyle="1" w:styleId="Normalny321">
    <w:name w:val="Normalny321"/>
    <w:qFormat/>
    <w:pPr>
      <w:spacing w:after="200"/>
    </w:pPr>
  </w:style>
  <w:style w:type="character" w:customStyle="1" w:styleId="Domylnaczcionkaakapitu321">
    <w:name w:val="Domyślna czcionka akapitu321"/>
    <w:uiPriority w:val="1"/>
  </w:style>
  <w:style w:type="table" w:customStyle="1" w:styleId="Standardowy321">
    <w:name w:val="Standardowy321"/>
    <w:uiPriority w:val="99"/>
    <w:tblPr>
      <w:tblInd w:w="0" w:type="dxa"/>
      <w:tblCellMar>
        <w:top w:w="0" w:type="dxa"/>
        <w:left w:w="108" w:type="dxa"/>
        <w:bottom w:w="0" w:type="dxa"/>
        <w:right w:w="108" w:type="dxa"/>
      </w:tblCellMar>
    </w:tblPr>
  </w:style>
  <w:style w:type="numbering" w:customStyle="1" w:styleId="Bezlisty321">
    <w:name w:val="Bez listy321"/>
    <w:uiPriority w:val="99"/>
  </w:style>
  <w:style w:type="paragraph" w:customStyle="1" w:styleId="Normalny322">
    <w:name w:val="Normalny322"/>
    <w:qFormat/>
    <w:pPr>
      <w:spacing w:after="200"/>
    </w:pPr>
  </w:style>
  <w:style w:type="character" w:customStyle="1" w:styleId="Domylnaczcionkaakapitu322">
    <w:name w:val="Domyślna czcionka akapitu322"/>
    <w:uiPriority w:val="1"/>
  </w:style>
  <w:style w:type="table" w:customStyle="1" w:styleId="Standardowy322">
    <w:name w:val="Standardowy322"/>
    <w:uiPriority w:val="99"/>
    <w:tblPr>
      <w:tblInd w:w="0" w:type="dxa"/>
      <w:tblCellMar>
        <w:top w:w="0" w:type="dxa"/>
        <w:left w:w="108" w:type="dxa"/>
        <w:bottom w:w="0" w:type="dxa"/>
        <w:right w:w="108" w:type="dxa"/>
      </w:tblCellMar>
    </w:tblPr>
  </w:style>
  <w:style w:type="numbering" w:customStyle="1" w:styleId="Bezlisty322">
    <w:name w:val="Bez listy322"/>
    <w:uiPriority w:val="99"/>
  </w:style>
  <w:style w:type="paragraph" w:customStyle="1" w:styleId="Normalny323">
    <w:name w:val="Normalny323"/>
    <w:qFormat/>
    <w:pPr>
      <w:spacing w:after="200"/>
    </w:pPr>
  </w:style>
  <w:style w:type="character" w:customStyle="1" w:styleId="Domylnaczcionkaakapitu323">
    <w:name w:val="Domyślna czcionka akapitu323"/>
    <w:uiPriority w:val="1"/>
  </w:style>
  <w:style w:type="table" w:customStyle="1" w:styleId="Standardowy323">
    <w:name w:val="Standardowy323"/>
    <w:uiPriority w:val="99"/>
    <w:tblPr>
      <w:tblInd w:w="0" w:type="dxa"/>
      <w:tblCellMar>
        <w:top w:w="0" w:type="dxa"/>
        <w:left w:w="108" w:type="dxa"/>
        <w:bottom w:w="0" w:type="dxa"/>
        <w:right w:w="108" w:type="dxa"/>
      </w:tblCellMar>
    </w:tblPr>
  </w:style>
  <w:style w:type="numbering" w:customStyle="1" w:styleId="Bezlisty323">
    <w:name w:val="Bez listy323"/>
    <w:uiPriority w:val="99"/>
  </w:style>
  <w:style w:type="paragraph" w:customStyle="1" w:styleId="Normalny324">
    <w:name w:val="Normalny324"/>
    <w:qFormat/>
    <w:pPr>
      <w:spacing w:after="200"/>
    </w:pPr>
  </w:style>
  <w:style w:type="character" w:customStyle="1" w:styleId="Domylnaczcionkaakapitu324">
    <w:name w:val="Domyślna czcionka akapitu324"/>
    <w:uiPriority w:val="1"/>
  </w:style>
  <w:style w:type="table" w:customStyle="1" w:styleId="Standardowy324">
    <w:name w:val="Standardowy324"/>
    <w:uiPriority w:val="99"/>
    <w:tblPr>
      <w:tblInd w:w="0" w:type="dxa"/>
      <w:tblCellMar>
        <w:top w:w="0" w:type="dxa"/>
        <w:left w:w="108" w:type="dxa"/>
        <w:bottom w:w="0" w:type="dxa"/>
        <w:right w:w="108" w:type="dxa"/>
      </w:tblCellMar>
    </w:tblPr>
  </w:style>
  <w:style w:type="numbering" w:customStyle="1" w:styleId="Bezlisty324">
    <w:name w:val="Bez listy324"/>
    <w:uiPriority w:val="99"/>
  </w:style>
  <w:style w:type="paragraph" w:customStyle="1" w:styleId="Normalny325">
    <w:name w:val="Normalny325"/>
    <w:qFormat/>
    <w:pPr>
      <w:spacing w:after="200"/>
    </w:pPr>
  </w:style>
  <w:style w:type="character" w:customStyle="1" w:styleId="Domylnaczcionkaakapitu325">
    <w:name w:val="Domyślna czcionka akapitu325"/>
    <w:uiPriority w:val="1"/>
  </w:style>
  <w:style w:type="table" w:customStyle="1" w:styleId="Standardowy325">
    <w:name w:val="Standardowy325"/>
    <w:uiPriority w:val="99"/>
    <w:tblPr>
      <w:tblInd w:w="0" w:type="dxa"/>
      <w:tblCellMar>
        <w:top w:w="0" w:type="dxa"/>
        <w:left w:w="108" w:type="dxa"/>
        <w:bottom w:w="0" w:type="dxa"/>
        <w:right w:w="108" w:type="dxa"/>
      </w:tblCellMar>
    </w:tblPr>
  </w:style>
  <w:style w:type="numbering" w:customStyle="1" w:styleId="Bezlisty325">
    <w:name w:val="Bez listy325"/>
    <w:uiPriority w:val="99"/>
  </w:style>
  <w:style w:type="paragraph" w:customStyle="1" w:styleId="Normalny326">
    <w:name w:val="Normalny326"/>
    <w:qFormat/>
    <w:pPr>
      <w:spacing w:after="200"/>
    </w:pPr>
  </w:style>
  <w:style w:type="character" w:customStyle="1" w:styleId="Domylnaczcionkaakapitu326">
    <w:name w:val="Domyślna czcionka akapitu326"/>
    <w:uiPriority w:val="1"/>
  </w:style>
  <w:style w:type="table" w:customStyle="1" w:styleId="Standardowy326">
    <w:name w:val="Standardowy326"/>
    <w:uiPriority w:val="99"/>
    <w:tblPr>
      <w:tblInd w:w="0" w:type="dxa"/>
      <w:tblCellMar>
        <w:top w:w="0" w:type="dxa"/>
        <w:left w:w="108" w:type="dxa"/>
        <w:bottom w:w="0" w:type="dxa"/>
        <w:right w:w="108" w:type="dxa"/>
      </w:tblCellMar>
    </w:tblPr>
  </w:style>
  <w:style w:type="numbering" w:customStyle="1" w:styleId="Bezlisty326">
    <w:name w:val="Bez listy326"/>
    <w:uiPriority w:val="99"/>
  </w:style>
  <w:style w:type="paragraph" w:customStyle="1" w:styleId="Normalny327">
    <w:name w:val="Normalny327"/>
    <w:qFormat/>
    <w:pPr>
      <w:spacing w:after="200"/>
    </w:pPr>
  </w:style>
  <w:style w:type="character" w:customStyle="1" w:styleId="Domylnaczcionkaakapitu327">
    <w:name w:val="Domyślna czcionka akapitu327"/>
    <w:uiPriority w:val="1"/>
  </w:style>
  <w:style w:type="table" w:customStyle="1" w:styleId="Standardowy327">
    <w:name w:val="Standardowy327"/>
    <w:uiPriority w:val="99"/>
    <w:tblPr>
      <w:tblInd w:w="0" w:type="dxa"/>
      <w:tblCellMar>
        <w:top w:w="0" w:type="dxa"/>
        <w:left w:w="108" w:type="dxa"/>
        <w:bottom w:w="0" w:type="dxa"/>
        <w:right w:w="108" w:type="dxa"/>
      </w:tblCellMar>
    </w:tblPr>
  </w:style>
  <w:style w:type="numbering" w:customStyle="1" w:styleId="Bezlisty327">
    <w:name w:val="Bez listy327"/>
    <w:uiPriority w:val="99"/>
  </w:style>
  <w:style w:type="paragraph" w:customStyle="1" w:styleId="Normalny328">
    <w:name w:val="Normalny328"/>
    <w:qFormat/>
    <w:pPr>
      <w:spacing w:after="200"/>
    </w:pPr>
  </w:style>
  <w:style w:type="character" w:customStyle="1" w:styleId="Domylnaczcionkaakapitu328">
    <w:name w:val="Domyślna czcionka akapitu328"/>
    <w:uiPriority w:val="1"/>
  </w:style>
  <w:style w:type="table" w:customStyle="1" w:styleId="Standardowy328">
    <w:name w:val="Standardowy328"/>
    <w:uiPriority w:val="99"/>
    <w:tblPr>
      <w:tblInd w:w="0" w:type="dxa"/>
      <w:tblCellMar>
        <w:top w:w="0" w:type="dxa"/>
        <w:left w:w="108" w:type="dxa"/>
        <w:bottom w:w="0" w:type="dxa"/>
        <w:right w:w="108" w:type="dxa"/>
      </w:tblCellMar>
    </w:tblPr>
  </w:style>
  <w:style w:type="numbering" w:customStyle="1" w:styleId="Bezlisty328">
    <w:name w:val="Bez listy328"/>
    <w:uiPriority w:val="99"/>
  </w:style>
  <w:style w:type="paragraph" w:customStyle="1" w:styleId="Normalny329">
    <w:name w:val="Normalny329"/>
    <w:qFormat/>
    <w:pPr>
      <w:spacing w:after="200"/>
    </w:pPr>
  </w:style>
  <w:style w:type="character" w:customStyle="1" w:styleId="Domylnaczcionkaakapitu329">
    <w:name w:val="Domyślna czcionka akapitu329"/>
    <w:uiPriority w:val="1"/>
  </w:style>
  <w:style w:type="table" w:customStyle="1" w:styleId="Standardowy329">
    <w:name w:val="Standardowy329"/>
    <w:uiPriority w:val="99"/>
    <w:tblPr>
      <w:tblInd w:w="0" w:type="dxa"/>
      <w:tblCellMar>
        <w:top w:w="0" w:type="dxa"/>
        <w:left w:w="108" w:type="dxa"/>
        <w:bottom w:w="0" w:type="dxa"/>
        <w:right w:w="108" w:type="dxa"/>
      </w:tblCellMar>
    </w:tblPr>
  </w:style>
  <w:style w:type="numbering" w:customStyle="1" w:styleId="Bezlisty329">
    <w:name w:val="Bez listy329"/>
    <w:uiPriority w:val="99"/>
  </w:style>
  <w:style w:type="paragraph" w:customStyle="1" w:styleId="Normalny330">
    <w:name w:val="Normalny330"/>
    <w:qFormat/>
    <w:pPr>
      <w:spacing w:after="200"/>
    </w:pPr>
  </w:style>
  <w:style w:type="character" w:customStyle="1" w:styleId="Domylnaczcionkaakapitu330">
    <w:name w:val="Domyślna czcionka akapitu330"/>
    <w:uiPriority w:val="1"/>
  </w:style>
  <w:style w:type="table" w:customStyle="1" w:styleId="Standardowy330">
    <w:name w:val="Standardowy330"/>
    <w:uiPriority w:val="99"/>
    <w:tblPr>
      <w:tblInd w:w="0" w:type="dxa"/>
      <w:tblCellMar>
        <w:top w:w="0" w:type="dxa"/>
        <w:left w:w="108" w:type="dxa"/>
        <w:bottom w:w="0" w:type="dxa"/>
        <w:right w:w="108" w:type="dxa"/>
      </w:tblCellMar>
    </w:tblPr>
  </w:style>
  <w:style w:type="numbering" w:customStyle="1" w:styleId="Bezlisty330">
    <w:name w:val="Bez listy330"/>
    <w:uiPriority w:val="99"/>
  </w:style>
  <w:style w:type="paragraph" w:customStyle="1" w:styleId="Normalny331">
    <w:name w:val="Normalny331"/>
    <w:qFormat/>
    <w:pPr>
      <w:spacing w:after="200"/>
    </w:pPr>
  </w:style>
  <w:style w:type="character" w:customStyle="1" w:styleId="Domylnaczcionkaakapitu331">
    <w:name w:val="Domyślna czcionka akapitu331"/>
    <w:uiPriority w:val="1"/>
  </w:style>
  <w:style w:type="table" w:customStyle="1" w:styleId="Standardowy331">
    <w:name w:val="Standardowy331"/>
    <w:uiPriority w:val="99"/>
    <w:tblPr>
      <w:tblInd w:w="0" w:type="dxa"/>
      <w:tblCellMar>
        <w:top w:w="0" w:type="dxa"/>
        <w:left w:w="108" w:type="dxa"/>
        <w:bottom w:w="0" w:type="dxa"/>
        <w:right w:w="108" w:type="dxa"/>
      </w:tblCellMar>
    </w:tblPr>
  </w:style>
  <w:style w:type="numbering" w:customStyle="1" w:styleId="Bezlisty331">
    <w:name w:val="Bez listy331"/>
    <w:uiPriority w:val="99"/>
  </w:style>
  <w:style w:type="paragraph" w:customStyle="1" w:styleId="Normalny332">
    <w:name w:val="Normalny332"/>
    <w:qFormat/>
    <w:pPr>
      <w:spacing w:after="200"/>
    </w:pPr>
  </w:style>
  <w:style w:type="character" w:customStyle="1" w:styleId="Domylnaczcionkaakapitu332">
    <w:name w:val="Domyślna czcionka akapitu332"/>
    <w:uiPriority w:val="1"/>
  </w:style>
  <w:style w:type="table" w:customStyle="1" w:styleId="Standardowy332">
    <w:name w:val="Standardowy332"/>
    <w:uiPriority w:val="99"/>
    <w:tblPr>
      <w:tblInd w:w="0" w:type="dxa"/>
      <w:tblCellMar>
        <w:top w:w="0" w:type="dxa"/>
        <w:left w:w="108" w:type="dxa"/>
        <w:bottom w:w="0" w:type="dxa"/>
        <w:right w:w="108" w:type="dxa"/>
      </w:tblCellMar>
    </w:tblPr>
  </w:style>
  <w:style w:type="numbering" w:customStyle="1" w:styleId="Bezlisty332">
    <w:name w:val="Bez listy332"/>
    <w:uiPriority w:val="99"/>
  </w:style>
  <w:style w:type="paragraph" w:customStyle="1" w:styleId="Normalny333">
    <w:name w:val="Normalny333"/>
    <w:qFormat/>
    <w:pPr>
      <w:spacing w:after="200"/>
    </w:pPr>
  </w:style>
  <w:style w:type="character" w:customStyle="1" w:styleId="Domylnaczcionkaakapitu333">
    <w:name w:val="Domyślna czcionka akapitu333"/>
    <w:uiPriority w:val="1"/>
  </w:style>
  <w:style w:type="table" w:customStyle="1" w:styleId="Standardowy333">
    <w:name w:val="Standardowy333"/>
    <w:uiPriority w:val="99"/>
    <w:tblPr>
      <w:tblInd w:w="0" w:type="dxa"/>
      <w:tblCellMar>
        <w:top w:w="0" w:type="dxa"/>
        <w:left w:w="108" w:type="dxa"/>
        <w:bottom w:w="0" w:type="dxa"/>
        <w:right w:w="108" w:type="dxa"/>
      </w:tblCellMar>
    </w:tblPr>
  </w:style>
  <w:style w:type="numbering" w:customStyle="1" w:styleId="Bezlisty333">
    <w:name w:val="Bez listy333"/>
    <w:uiPriority w:val="99"/>
  </w:style>
  <w:style w:type="paragraph" w:customStyle="1" w:styleId="Normalny334">
    <w:name w:val="Normalny334"/>
    <w:qFormat/>
    <w:pPr>
      <w:spacing w:after="200"/>
    </w:pPr>
  </w:style>
  <w:style w:type="character" w:customStyle="1" w:styleId="Domylnaczcionkaakapitu334">
    <w:name w:val="Domyślna czcionka akapitu334"/>
    <w:uiPriority w:val="1"/>
  </w:style>
  <w:style w:type="table" w:customStyle="1" w:styleId="Standardowy334">
    <w:name w:val="Standardowy334"/>
    <w:uiPriority w:val="99"/>
    <w:tblPr>
      <w:tblInd w:w="0" w:type="dxa"/>
      <w:tblCellMar>
        <w:top w:w="0" w:type="dxa"/>
        <w:left w:w="108" w:type="dxa"/>
        <w:bottom w:w="0" w:type="dxa"/>
        <w:right w:w="108" w:type="dxa"/>
      </w:tblCellMar>
    </w:tblPr>
  </w:style>
  <w:style w:type="numbering" w:customStyle="1" w:styleId="Bezlisty334">
    <w:name w:val="Bez listy334"/>
    <w:uiPriority w:val="99"/>
  </w:style>
  <w:style w:type="paragraph" w:customStyle="1" w:styleId="Normalny335">
    <w:name w:val="Normalny335"/>
    <w:qFormat/>
    <w:pPr>
      <w:spacing w:after="200"/>
    </w:pPr>
  </w:style>
  <w:style w:type="character" w:customStyle="1" w:styleId="Domylnaczcionkaakapitu335">
    <w:name w:val="Domyślna czcionka akapitu335"/>
    <w:uiPriority w:val="1"/>
  </w:style>
  <w:style w:type="table" w:customStyle="1" w:styleId="Standardowy335">
    <w:name w:val="Standardowy335"/>
    <w:uiPriority w:val="99"/>
    <w:tblPr>
      <w:tblInd w:w="0" w:type="dxa"/>
      <w:tblCellMar>
        <w:top w:w="0" w:type="dxa"/>
        <w:left w:w="108" w:type="dxa"/>
        <w:bottom w:w="0" w:type="dxa"/>
        <w:right w:w="108" w:type="dxa"/>
      </w:tblCellMar>
    </w:tblPr>
  </w:style>
  <w:style w:type="numbering" w:customStyle="1" w:styleId="Bezlisty335">
    <w:name w:val="Bez listy335"/>
    <w:uiPriority w:val="99"/>
  </w:style>
  <w:style w:type="paragraph" w:customStyle="1" w:styleId="Normalny336">
    <w:name w:val="Normalny336"/>
    <w:qFormat/>
    <w:pPr>
      <w:spacing w:after="200"/>
    </w:pPr>
  </w:style>
  <w:style w:type="character" w:customStyle="1" w:styleId="Domylnaczcionkaakapitu336">
    <w:name w:val="Domyślna czcionka akapitu336"/>
    <w:uiPriority w:val="1"/>
  </w:style>
  <w:style w:type="table" w:customStyle="1" w:styleId="Standardowy336">
    <w:name w:val="Standardowy336"/>
    <w:uiPriority w:val="99"/>
    <w:tblPr>
      <w:tblInd w:w="0" w:type="dxa"/>
      <w:tblCellMar>
        <w:top w:w="0" w:type="dxa"/>
        <w:left w:w="108" w:type="dxa"/>
        <w:bottom w:w="0" w:type="dxa"/>
        <w:right w:w="108" w:type="dxa"/>
      </w:tblCellMar>
    </w:tblPr>
  </w:style>
  <w:style w:type="numbering" w:customStyle="1" w:styleId="Bezlisty336">
    <w:name w:val="Bez listy336"/>
    <w:uiPriority w:val="99"/>
  </w:style>
  <w:style w:type="paragraph" w:customStyle="1" w:styleId="Normalny337">
    <w:name w:val="Normalny337"/>
    <w:qFormat/>
    <w:pPr>
      <w:spacing w:after="200"/>
    </w:pPr>
  </w:style>
  <w:style w:type="character" w:customStyle="1" w:styleId="Domylnaczcionkaakapitu337">
    <w:name w:val="Domyślna czcionka akapitu337"/>
    <w:uiPriority w:val="1"/>
  </w:style>
  <w:style w:type="table" w:customStyle="1" w:styleId="Standardowy337">
    <w:name w:val="Standardowy337"/>
    <w:uiPriority w:val="99"/>
    <w:tblPr>
      <w:tblInd w:w="0" w:type="dxa"/>
      <w:tblCellMar>
        <w:top w:w="0" w:type="dxa"/>
        <w:left w:w="108" w:type="dxa"/>
        <w:bottom w:w="0" w:type="dxa"/>
        <w:right w:w="108" w:type="dxa"/>
      </w:tblCellMar>
    </w:tblPr>
  </w:style>
  <w:style w:type="numbering" w:customStyle="1" w:styleId="Bezlisty337">
    <w:name w:val="Bez listy337"/>
    <w:uiPriority w:val="99"/>
  </w:style>
  <w:style w:type="paragraph" w:customStyle="1" w:styleId="Normalny338">
    <w:name w:val="Normalny338"/>
    <w:qFormat/>
    <w:pPr>
      <w:spacing w:after="200"/>
    </w:pPr>
  </w:style>
  <w:style w:type="character" w:customStyle="1" w:styleId="Domylnaczcionkaakapitu338">
    <w:name w:val="Domyślna czcionka akapitu338"/>
    <w:uiPriority w:val="1"/>
  </w:style>
  <w:style w:type="table" w:customStyle="1" w:styleId="Standardowy338">
    <w:name w:val="Standardowy338"/>
    <w:uiPriority w:val="99"/>
    <w:tblPr>
      <w:tblInd w:w="0" w:type="dxa"/>
      <w:tblCellMar>
        <w:top w:w="0" w:type="dxa"/>
        <w:left w:w="108" w:type="dxa"/>
        <w:bottom w:w="0" w:type="dxa"/>
        <w:right w:w="108" w:type="dxa"/>
      </w:tblCellMar>
    </w:tblPr>
  </w:style>
  <w:style w:type="numbering" w:customStyle="1" w:styleId="Bezlisty338">
    <w:name w:val="Bez listy338"/>
    <w:uiPriority w:val="99"/>
  </w:style>
  <w:style w:type="paragraph" w:customStyle="1" w:styleId="Normalny339">
    <w:name w:val="Normalny339"/>
    <w:qFormat/>
    <w:pPr>
      <w:spacing w:after="200"/>
    </w:pPr>
  </w:style>
  <w:style w:type="character" w:customStyle="1" w:styleId="Domylnaczcionkaakapitu339">
    <w:name w:val="Domyślna czcionka akapitu339"/>
    <w:uiPriority w:val="1"/>
  </w:style>
  <w:style w:type="table" w:customStyle="1" w:styleId="Standardowy339">
    <w:name w:val="Standardowy339"/>
    <w:uiPriority w:val="99"/>
    <w:tblPr>
      <w:tblInd w:w="0" w:type="dxa"/>
      <w:tblCellMar>
        <w:top w:w="0" w:type="dxa"/>
        <w:left w:w="108" w:type="dxa"/>
        <w:bottom w:w="0" w:type="dxa"/>
        <w:right w:w="108" w:type="dxa"/>
      </w:tblCellMar>
    </w:tblPr>
  </w:style>
  <w:style w:type="numbering" w:customStyle="1" w:styleId="Bezlisty339">
    <w:name w:val="Bez listy339"/>
    <w:uiPriority w:val="99"/>
  </w:style>
  <w:style w:type="paragraph" w:customStyle="1" w:styleId="Normalny340">
    <w:name w:val="Normalny340"/>
    <w:qFormat/>
    <w:pPr>
      <w:spacing w:after="200"/>
    </w:pPr>
  </w:style>
  <w:style w:type="character" w:customStyle="1" w:styleId="Domylnaczcionkaakapitu340">
    <w:name w:val="Domyślna czcionka akapitu340"/>
    <w:uiPriority w:val="1"/>
  </w:style>
  <w:style w:type="table" w:customStyle="1" w:styleId="Standardowy340">
    <w:name w:val="Standardowy340"/>
    <w:uiPriority w:val="99"/>
    <w:tblPr>
      <w:tblInd w:w="0" w:type="dxa"/>
      <w:tblCellMar>
        <w:top w:w="0" w:type="dxa"/>
        <w:left w:w="108" w:type="dxa"/>
        <w:bottom w:w="0" w:type="dxa"/>
        <w:right w:w="108" w:type="dxa"/>
      </w:tblCellMar>
    </w:tblPr>
  </w:style>
  <w:style w:type="numbering" w:customStyle="1" w:styleId="Bezlisty340">
    <w:name w:val="Bez listy340"/>
    <w:uiPriority w:val="99"/>
  </w:style>
  <w:style w:type="paragraph" w:customStyle="1" w:styleId="Normalny341">
    <w:name w:val="Normalny341"/>
    <w:qFormat/>
    <w:pPr>
      <w:spacing w:after="200"/>
    </w:pPr>
  </w:style>
  <w:style w:type="character" w:customStyle="1" w:styleId="Domylnaczcionkaakapitu341">
    <w:name w:val="Domyślna czcionka akapitu341"/>
    <w:uiPriority w:val="1"/>
  </w:style>
  <w:style w:type="table" w:customStyle="1" w:styleId="Standardowy341">
    <w:name w:val="Standardowy341"/>
    <w:uiPriority w:val="99"/>
    <w:tblPr>
      <w:tblInd w:w="0" w:type="dxa"/>
      <w:tblCellMar>
        <w:top w:w="0" w:type="dxa"/>
        <w:left w:w="108" w:type="dxa"/>
        <w:bottom w:w="0" w:type="dxa"/>
        <w:right w:w="108" w:type="dxa"/>
      </w:tblCellMar>
    </w:tblPr>
  </w:style>
  <w:style w:type="numbering" w:customStyle="1" w:styleId="Bezlisty341">
    <w:name w:val="Bez listy341"/>
    <w:uiPriority w:val="99"/>
  </w:style>
  <w:style w:type="paragraph" w:customStyle="1" w:styleId="Normalny342">
    <w:name w:val="Normalny342"/>
    <w:qFormat/>
    <w:pPr>
      <w:spacing w:after="200"/>
    </w:pPr>
  </w:style>
  <w:style w:type="character" w:customStyle="1" w:styleId="Domylnaczcionkaakapitu342">
    <w:name w:val="Domyślna czcionka akapitu342"/>
    <w:uiPriority w:val="1"/>
  </w:style>
  <w:style w:type="table" w:customStyle="1" w:styleId="Standardowy342">
    <w:name w:val="Standardowy342"/>
    <w:uiPriority w:val="99"/>
    <w:tblPr>
      <w:tblInd w:w="0" w:type="dxa"/>
      <w:tblCellMar>
        <w:top w:w="0" w:type="dxa"/>
        <w:left w:w="108" w:type="dxa"/>
        <w:bottom w:w="0" w:type="dxa"/>
        <w:right w:w="108" w:type="dxa"/>
      </w:tblCellMar>
    </w:tblPr>
  </w:style>
  <w:style w:type="numbering" w:customStyle="1" w:styleId="Bezlisty342">
    <w:name w:val="Bez listy342"/>
    <w:uiPriority w:val="99"/>
  </w:style>
  <w:style w:type="paragraph" w:customStyle="1" w:styleId="Normalny343">
    <w:name w:val="Normalny343"/>
    <w:qFormat/>
    <w:pPr>
      <w:spacing w:after="200"/>
    </w:pPr>
  </w:style>
  <w:style w:type="character" w:customStyle="1" w:styleId="Domylnaczcionkaakapitu343">
    <w:name w:val="Domyślna czcionka akapitu343"/>
    <w:uiPriority w:val="1"/>
  </w:style>
  <w:style w:type="table" w:customStyle="1" w:styleId="Standardowy343">
    <w:name w:val="Standardowy343"/>
    <w:uiPriority w:val="99"/>
    <w:tblPr>
      <w:tblInd w:w="0" w:type="dxa"/>
      <w:tblCellMar>
        <w:top w:w="0" w:type="dxa"/>
        <w:left w:w="108" w:type="dxa"/>
        <w:bottom w:w="0" w:type="dxa"/>
        <w:right w:w="108" w:type="dxa"/>
      </w:tblCellMar>
    </w:tblPr>
  </w:style>
  <w:style w:type="numbering" w:customStyle="1" w:styleId="Bezlisty343">
    <w:name w:val="Bez listy343"/>
    <w:uiPriority w:val="99"/>
  </w:style>
  <w:style w:type="paragraph" w:customStyle="1" w:styleId="Normalny344">
    <w:name w:val="Normalny344"/>
    <w:qFormat/>
    <w:pPr>
      <w:spacing w:after="200"/>
    </w:pPr>
  </w:style>
  <w:style w:type="character" w:customStyle="1" w:styleId="Domylnaczcionkaakapitu344">
    <w:name w:val="Domyślna czcionka akapitu344"/>
    <w:uiPriority w:val="1"/>
  </w:style>
  <w:style w:type="table" w:customStyle="1" w:styleId="Standardowy344">
    <w:name w:val="Standardowy344"/>
    <w:uiPriority w:val="99"/>
    <w:tblPr>
      <w:tblInd w:w="0" w:type="dxa"/>
      <w:tblCellMar>
        <w:top w:w="0" w:type="dxa"/>
        <w:left w:w="108" w:type="dxa"/>
        <w:bottom w:w="0" w:type="dxa"/>
        <w:right w:w="108" w:type="dxa"/>
      </w:tblCellMar>
    </w:tblPr>
  </w:style>
  <w:style w:type="numbering" w:customStyle="1" w:styleId="Bezlisty344">
    <w:name w:val="Bez listy344"/>
    <w:uiPriority w:val="99"/>
  </w:style>
  <w:style w:type="paragraph" w:customStyle="1" w:styleId="Normalny345">
    <w:name w:val="Normalny345"/>
    <w:qFormat/>
    <w:pPr>
      <w:spacing w:after="200"/>
    </w:pPr>
  </w:style>
  <w:style w:type="character" w:customStyle="1" w:styleId="Domylnaczcionkaakapitu345">
    <w:name w:val="Domyślna czcionka akapitu345"/>
    <w:uiPriority w:val="1"/>
  </w:style>
  <w:style w:type="table" w:customStyle="1" w:styleId="Standardowy345">
    <w:name w:val="Standardowy345"/>
    <w:uiPriority w:val="99"/>
    <w:tblPr>
      <w:tblInd w:w="0" w:type="dxa"/>
      <w:tblCellMar>
        <w:top w:w="0" w:type="dxa"/>
        <w:left w:w="108" w:type="dxa"/>
        <w:bottom w:w="0" w:type="dxa"/>
        <w:right w:w="108" w:type="dxa"/>
      </w:tblCellMar>
    </w:tblPr>
  </w:style>
  <w:style w:type="numbering" w:customStyle="1" w:styleId="Bezlisty345">
    <w:name w:val="Bez listy345"/>
    <w:uiPriority w:val="99"/>
  </w:style>
  <w:style w:type="paragraph" w:customStyle="1" w:styleId="Normalny346">
    <w:name w:val="Normalny346"/>
    <w:qFormat/>
    <w:pPr>
      <w:spacing w:after="200"/>
    </w:pPr>
  </w:style>
  <w:style w:type="character" w:customStyle="1" w:styleId="Domylnaczcionkaakapitu346">
    <w:name w:val="Domyślna czcionka akapitu346"/>
    <w:uiPriority w:val="1"/>
  </w:style>
  <w:style w:type="table" w:customStyle="1" w:styleId="Standardowy346">
    <w:name w:val="Standardowy346"/>
    <w:uiPriority w:val="99"/>
    <w:tblPr>
      <w:tblInd w:w="0" w:type="dxa"/>
      <w:tblCellMar>
        <w:top w:w="0" w:type="dxa"/>
        <w:left w:w="108" w:type="dxa"/>
        <w:bottom w:w="0" w:type="dxa"/>
        <w:right w:w="108" w:type="dxa"/>
      </w:tblCellMar>
    </w:tblPr>
  </w:style>
  <w:style w:type="numbering" w:customStyle="1" w:styleId="Bezlisty346">
    <w:name w:val="Bez listy346"/>
    <w:uiPriority w:val="99"/>
  </w:style>
  <w:style w:type="paragraph" w:customStyle="1" w:styleId="Normalny347">
    <w:name w:val="Normalny347"/>
    <w:qFormat/>
    <w:pPr>
      <w:spacing w:after="200"/>
    </w:pPr>
  </w:style>
  <w:style w:type="character" w:customStyle="1" w:styleId="Domylnaczcionkaakapitu347">
    <w:name w:val="Domyślna czcionka akapitu347"/>
    <w:uiPriority w:val="1"/>
  </w:style>
  <w:style w:type="table" w:customStyle="1" w:styleId="Standardowy347">
    <w:name w:val="Standardowy347"/>
    <w:uiPriority w:val="99"/>
    <w:tblPr>
      <w:tblInd w:w="0" w:type="dxa"/>
      <w:tblCellMar>
        <w:top w:w="0" w:type="dxa"/>
        <w:left w:w="108" w:type="dxa"/>
        <w:bottom w:w="0" w:type="dxa"/>
        <w:right w:w="108" w:type="dxa"/>
      </w:tblCellMar>
    </w:tblPr>
  </w:style>
  <w:style w:type="numbering" w:customStyle="1" w:styleId="Bezlisty347">
    <w:name w:val="Bez listy347"/>
    <w:uiPriority w:val="99"/>
  </w:style>
  <w:style w:type="paragraph" w:customStyle="1" w:styleId="Normalny348">
    <w:name w:val="Normalny348"/>
    <w:qFormat/>
    <w:pPr>
      <w:spacing w:after="200"/>
    </w:pPr>
  </w:style>
  <w:style w:type="character" w:customStyle="1" w:styleId="Domylnaczcionkaakapitu348">
    <w:name w:val="Domyślna czcionka akapitu348"/>
    <w:uiPriority w:val="1"/>
  </w:style>
  <w:style w:type="table" w:customStyle="1" w:styleId="Standardowy348">
    <w:name w:val="Standardowy348"/>
    <w:uiPriority w:val="99"/>
    <w:tblPr>
      <w:tblInd w:w="0" w:type="dxa"/>
      <w:tblCellMar>
        <w:top w:w="0" w:type="dxa"/>
        <w:left w:w="108" w:type="dxa"/>
        <w:bottom w:w="0" w:type="dxa"/>
        <w:right w:w="108" w:type="dxa"/>
      </w:tblCellMar>
    </w:tblPr>
  </w:style>
  <w:style w:type="numbering" w:customStyle="1" w:styleId="Bezlisty348">
    <w:name w:val="Bez listy348"/>
    <w:uiPriority w:val="99"/>
  </w:style>
  <w:style w:type="paragraph" w:customStyle="1" w:styleId="Normalny349">
    <w:name w:val="Normalny349"/>
    <w:qFormat/>
    <w:pPr>
      <w:spacing w:after="200"/>
    </w:pPr>
  </w:style>
  <w:style w:type="character" w:customStyle="1" w:styleId="Domylnaczcionkaakapitu349">
    <w:name w:val="Domyślna czcionka akapitu349"/>
    <w:uiPriority w:val="1"/>
  </w:style>
  <w:style w:type="table" w:customStyle="1" w:styleId="Standardowy349">
    <w:name w:val="Standardowy349"/>
    <w:uiPriority w:val="99"/>
    <w:tblPr>
      <w:tblInd w:w="0" w:type="dxa"/>
      <w:tblCellMar>
        <w:top w:w="0" w:type="dxa"/>
        <w:left w:w="108" w:type="dxa"/>
        <w:bottom w:w="0" w:type="dxa"/>
        <w:right w:w="108" w:type="dxa"/>
      </w:tblCellMar>
    </w:tblPr>
  </w:style>
  <w:style w:type="numbering" w:customStyle="1" w:styleId="Bezlisty349">
    <w:name w:val="Bez listy349"/>
    <w:uiPriority w:val="99"/>
  </w:style>
  <w:style w:type="paragraph" w:customStyle="1" w:styleId="Normalny350">
    <w:name w:val="Normalny350"/>
    <w:qFormat/>
    <w:pPr>
      <w:spacing w:after="200"/>
    </w:pPr>
  </w:style>
  <w:style w:type="character" w:customStyle="1" w:styleId="Domylnaczcionkaakapitu350">
    <w:name w:val="Domyślna czcionka akapitu350"/>
    <w:uiPriority w:val="1"/>
  </w:style>
  <w:style w:type="table" w:customStyle="1" w:styleId="Standardowy350">
    <w:name w:val="Standardowy350"/>
    <w:uiPriority w:val="99"/>
    <w:tblPr>
      <w:tblInd w:w="0" w:type="dxa"/>
      <w:tblCellMar>
        <w:top w:w="0" w:type="dxa"/>
        <w:left w:w="108" w:type="dxa"/>
        <w:bottom w:w="0" w:type="dxa"/>
        <w:right w:w="108" w:type="dxa"/>
      </w:tblCellMar>
    </w:tblPr>
  </w:style>
  <w:style w:type="numbering" w:customStyle="1" w:styleId="Bezlisty350">
    <w:name w:val="Bez listy350"/>
    <w:uiPriority w:val="99"/>
  </w:style>
  <w:style w:type="paragraph" w:customStyle="1" w:styleId="Normalny351">
    <w:name w:val="Normalny351"/>
    <w:qFormat/>
    <w:pPr>
      <w:spacing w:after="200"/>
    </w:pPr>
  </w:style>
  <w:style w:type="character" w:customStyle="1" w:styleId="Domylnaczcionkaakapitu351">
    <w:name w:val="Domyślna czcionka akapitu351"/>
    <w:uiPriority w:val="1"/>
  </w:style>
  <w:style w:type="table" w:customStyle="1" w:styleId="Standardowy351">
    <w:name w:val="Standardowy351"/>
    <w:uiPriority w:val="99"/>
    <w:tblPr>
      <w:tblInd w:w="0" w:type="dxa"/>
      <w:tblCellMar>
        <w:top w:w="0" w:type="dxa"/>
        <w:left w:w="108" w:type="dxa"/>
        <w:bottom w:w="0" w:type="dxa"/>
        <w:right w:w="108" w:type="dxa"/>
      </w:tblCellMar>
    </w:tblPr>
  </w:style>
  <w:style w:type="numbering" w:customStyle="1" w:styleId="Bezlisty351">
    <w:name w:val="Bez listy351"/>
    <w:uiPriority w:val="99"/>
  </w:style>
  <w:style w:type="paragraph" w:customStyle="1" w:styleId="Normalny352">
    <w:name w:val="Normalny352"/>
    <w:qFormat/>
    <w:pPr>
      <w:spacing w:after="200"/>
    </w:pPr>
  </w:style>
  <w:style w:type="character" w:customStyle="1" w:styleId="Domylnaczcionkaakapitu352">
    <w:name w:val="Domyślna czcionka akapitu352"/>
    <w:uiPriority w:val="1"/>
  </w:style>
  <w:style w:type="table" w:customStyle="1" w:styleId="Standardowy352">
    <w:name w:val="Standardowy352"/>
    <w:uiPriority w:val="99"/>
    <w:tblPr>
      <w:tblInd w:w="0" w:type="dxa"/>
      <w:tblCellMar>
        <w:top w:w="0" w:type="dxa"/>
        <w:left w:w="108" w:type="dxa"/>
        <w:bottom w:w="0" w:type="dxa"/>
        <w:right w:w="108" w:type="dxa"/>
      </w:tblCellMar>
    </w:tblPr>
  </w:style>
  <w:style w:type="numbering" w:customStyle="1" w:styleId="Bezlisty352">
    <w:name w:val="Bez listy352"/>
    <w:uiPriority w:val="99"/>
  </w:style>
  <w:style w:type="paragraph" w:customStyle="1" w:styleId="Normalny353">
    <w:name w:val="Normalny353"/>
    <w:qFormat/>
    <w:pPr>
      <w:spacing w:after="200"/>
    </w:pPr>
  </w:style>
  <w:style w:type="character" w:customStyle="1" w:styleId="Domylnaczcionkaakapitu353">
    <w:name w:val="Domyślna czcionka akapitu353"/>
    <w:uiPriority w:val="1"/>
  </w:style>
  <w:style w:type="table" w:customStyle="1" w:styleId="Standardowy353">
    <w:name w:val="Standardowy353"/>
    <w:uiPriority w:val="99"/>
    <w:tblPr>
      <w:tblInd w:w="0" w:type="dxa"/>
      <w:tblCellMar>
        <w:top w:w="0" w:type="dxa"/>
        <w:left w:w="108" w:type="dxa"/>
        <w:bottom w:w="0" w:type="dxa"/>
        <w:right w:w="108" w:type="dxa"/>
      </w:tblCellMar>
    </w:tblPr>
  </w:style>
  <w:style w:type="numbering" w:customStyle="1" w:styleId="Bezlisty353">
    <w:name w:val="Bez listy353"/>
    <w:uiPriority w:val="99"/>
  </w:style>
  <w:style w:type="paragraph" w:customStyle="1" w:styleId="Normalny354">
    <w:name w:val="Normalny354"/>
    <w:qFormat/>
    <w:pPr>
      <w:spacing w:after="200"/>
    </w:pPr>
  </w:style>
  <w:style w:type="character" w:customStyle="1" w:styleId="Domylnaczcionkaakapitu354">
    <w:name w:val="Domyślna czcionka akapitu354"/>
    <w:uiPriority w:val="1"/>
  </w:style>
  <w:style w:type="table" w:customStyle="1" w:styleId="Standardowy354">
    <w:name w:val="Standardowy354"/>
    <w:uiPriority w:val="99"/>
    <w:tblPr>
      <w:tblInd w:w="0" w:type="dxa"/>
      <w:tblCellMar>
        <w:top w:w="0" w:type="dxa"/>
        <w:left w:w="108" w:type="dxa"/>
        <w:bottom w:w="0" w:type="dxa"/>
        <w:right w:w="108" w:type="dxa"/>
      </w:tblCellMar>
    </w:tblPr>
  </w:style>
  <w:style w:type="numbering" w:customStyle="1" w:styleId="Bezlisty354">
    <w:name w:val="Bez listy354"/>
    <w:uiPriority w:val="99"/>
  </w:style>
  <w:style w:type="paragraph" w:customStyle="1" w:styleId="Normalny355">
    <w:name w:val="Normalny355"/>
    <w:qFormat/>
    <w:pPr>
      <w:spacing w:after="200"/>
    </w:pPr>
  </w:style>
  <w:style w:type="character" w:customStyle="1" w:styleId="Domylnaczcionkaakapitu355">
    <w:name w:val="Domyślna czcionka akapitu355"/>
    <w:uiPriority w:val="1"/>
  </w:style>
  <w:style w:type="table" w:customStyle="1" w:styleId="Standardowy355">
    <w:name w:val="Standardowy355"/>
    <w:uiPriority w:val="99"/>
    <w:tblPr>
      <w:tblInd w:w="0" w:type="dxa"/>
      <w:tblCellMar>
        <w:top w:w="0" w:type="dxa"/>
        <w:left w:w="108" w:type="dxa"/>
        <w:bottom w:w="0" w:type="dxa"/>
        <w:right w:w="108" w:type="dxa"/>
      </w:tblCellMar>
    </w:tblPr>
  </w:style>
  <w:style w:type="numbering" w:customStyle="1" w:styleId="Bezlisty355">
    <w:name w:val="Bez listy355"/>
    <w:uiPriority w:val="99"/>
  </w:style>
  <w:style w:type="paragraph" w:customStyle="1" w:styleId="Normalny356">
    <w:name w:val="Normalny356"/>
    <w:qFormat/>
    <w:pPr>
      <w:spacing w:after="200"/>
    </w:pPr>
  </w:style>
  <w:style w:type="character" w:customStyle="1" w:styleId="Domylnaczcionkaakapitu356">
    <w:name w:val="Domyślna czcionka akapitu356"/>
    <w:uiPriority w:val="1"/>
  </w:style>
  <w:style w:type="table" w:customStyle="1" w:styleId="Standardowy356">
    <w:name w:val="Standardowy356"/>
    <w:uiPriority w:val="99"/>
    <w:tblPr>
      <w:tblInd w:w="0" w:type="dxa"/>
      <w:tblCellMar>
        <w:top w:w="0" w:type="dxa"/>
        <w:left w:w="108" w:type="dxa"/>
        <w:bottom w:w="0" w:type="dxa"/>
        <w:right w:w="108" w:type="dxa"/>
      </w:tblCellMar>
    </w:tblPr>
  </w:style>
  <w:style w:type="numbering" w:customStyle="1" w:styleId="Bezlisty356">
    <w:name w:val="Bez listy356"/>
    <w:uiPriority w:val="99"/>
  </w:style>
  <w:style w:type="paragraph" w:customStyle="1" w:styleId="Normalny357">
    <w:name w:val="Normalny357"/>
    <w:qFormat/>
    <w:pPr>
      <w:spacing w:after="200"/>
    </w:pPr>
  </w:style>
  <w:style w:type="character" w:customStyle="1" w:styleId="Domylnaczcionkaakapitu357">
    <w:name w:val="Domyślna czcionka akapitu357"/>
    <w:uiPriority w:val="1"/>
  </w:style>
  <w:style w:type="table" w:customStyle="1" w:styleId="Standardowy357">
    <w:name w:val="Standardowy357"/>
    <w:uiPriority w:val="99"/>
    <w:tblPr>
      <w:tblInd w:w="0" w:type="dxa"/>
      <w:tblCellMar>
        <w:top w:w="0" w:type="dxa"/>
        <w:left w:w="108" w:type="dxa"/>
        <w:bottom w:w="0" w:type="dxa"/>
        <w:right w:w="108" w:type="dxa"/>
      </w:tblCellMar>
    </w:tblPr>
  </w:style>
  <w:style w:type="numbering" w:customStyle="1" w:styleId="Bezlisty357">
    <w:name w:val="Bez listy357"/>
    <w:uiPriority w:val="99"/>
  </w:style>
  <w:style w:type="paragraph" w:customStyle="1" w:styleId="Normalny358">
    <w:name w:val="Normalny358"/>
    <w:qFormat/>
    <w:pPr>
      <w:spacing w:after="200"/>
    </w:pPr>
  </w:style>
  <w:style w:type="character" w:customStyle="1" w:styleId="Domylnaczcionkaakapitu358">
    <w:name w:val="Domyślna czcionka akapitu358"/>
    <w:uiPriority w:val="1"/>
  </w:style>
  <w:style w:type="table" w:customStyle="1" w:styleId="Standardowy358">
    <w:name w:val="Standardowy358"/>
    <w:uiPriority w:val="99"/>
    <w:tblPr>
      <w:tblInd w:w="0" w:type="dxa"/>
      <w:tblCellMar>
        <w:top w:w="0" w:type="dxa"/>
        <w:left w:w="108" w:type="dxa"/>
        <w:bottom w:w="0" w:type="dxa"/>
        <w:right w:w="108" w:type="dxa"/>
      </w:tblCellMar>
    </w:tblPr>
  </w:style>
  <w:style w:type="numbering" w:customStyle="1" w:styleId="Bezlisty358">
    <w:name w:val="Bez listy358"/>
    <w:uiPriority w:val="99"/>
  </w:style>
  <w:style w:type="paragraph" w:customStyle="1" w:styleId="Normalny359">
    <w:name w:val="Normalny359"/>
    <w:qFormat/>
    <w:pPr>
      <w:spacing w:after="200"/>
    </w:pPr>
  </w:style>
  <w:style w:type="character" w:customStyle="1" w:styleId="Domylnaczcionkaakapitu359">
    <w:name w:val="Domyślna czcionka akapitu359"/>
    <w:uiPriority w:val="1"/>
  </w:style>
  <w:style w:type="table" w:customStyle="1" w:styleId="Standardowy359">
    <w:name w:val="Standardowy359"/>
    <w:uiPriority w:val="99"/>
    <w:tblPr>
      <w:tblInd w:w="0" w:type="dxa"/>
      <w:tblCellMar>
        <w:top w:w="0" w:type="dxa"/>
        <w:left w:w="108" w:type="dxa"/>
        <w:bottom w:w="0" w:type="dxa"/>
        <w:right w:w="108" w:type="dxa"/>
      </w:tblCellMar>
    </w:tblPr>
  </w:style>
  <w:style w:type="numbering" w:customStyle="1" w:styleId="Bezlisty359">
    <w:name w:val="Bez listy359"/>
    <w:uiPriority w:val="99"/>
  </w:style>
  <w:style w:type="paragraph" w:customStyle="1" w:styleId="Normalny360">
    <w:name w:val="Normalny360"/>
    <w:qFormat/>
    <w:pPr>
      <w:spacing w:after="200"/>
    </w:pPr>
  </w:style>
  <w:style w:type="character" w:customStyle="1" w:styleId="Domylnaczcionkaakapitu360">
    <w:name w:val="Domyślna czcionka akapitu360"/>
    <w:uiPriority w:val="1"/>
  </w:style>
  <w:style w:type="table" w:customStyle="1" w:styleId="Standardowy360">
    <w:name w:val="Standardowy360"/>
    <w:uiPriority w:val="99"/>
    <w:tblPr>
      <w:tblInd w:w="0" w:type="dxa"/>
      <w:tblCellMar>
        <w:top w:w="0" w:type="dxa"/>
        <w:left w:w="108" w:type="dxa"/>
        <w:bottom w:w="0" w:type="dxa"/>
        <w:right w:w="108" w:type="dxa"/>
      </w:tblCellMar>
    </w:tblPr>
  </w:style>
  <w:style w:type="numbering" w:customStyle="1" w:styleId="Bezlisty360">
    <w:name w:val="Bez listy360"/>
    <w:uiPriority w:val="99"/>
  </w:style>
  <w:style w:type="paragraph" w:customStyle="1" w:styleId="Normalny361">
    <w:name w:val="Normalny361"/>
    <w:qFormat/>
    <w:pPr>
      <w:spacing w:after="200"/>
    </w:pPr>
  </w:style>
  <w:style w:type="character" w:customStyle="1" w:styleId="Domylnaczcionkaakapitu361">
    <w:name w:val="Domyślna czcionka akapitu361"/>
    <w:uiPriority w:val="1"/>
  </w:style>
  <w:style w:type="table" w:customStyle="1" w:styleId="Standardowy361">
    <w:name w:val="Standardowy361"/>
    <w:uiPriority w:val="99"/>
    <w:tblPr>
      <w:tblInd w:w="0" w:type="dxa"/>
      <w:tblCellMar>
        <w:top w:w="0" w:type="dxa"/>
        <w:left w:w="108" w:type="dxa"/>
        <w:bottom w:w="0" w:type="dxa"/>
        <w:right w:w="108" w:type="dxa"/>
      </w:tblCellMar>
    </w:tblPr>
  </w:style>
  <w:style w:type="numbering" w:customStyle="1" w:styleId="Bezlisty361">
    <w:name w:val="Bez listy361"/>
    <w:uiPriority w:val="99"/>
  </w:style>
  <w:style w:type="paragraph" w:customStyle="1" w:styleId="Normalny362">
    <w:name w:val="Normalny362"/>
    <w:qFormat/>
    <w:pPr>
      <w:spacing w:after="200"/>
    </w:pPr>
  </w:style>
  <w:style w:type="character" w:customStyle="1" w:styleId="Domylnaczcionkaakapitu362">
    <w:name w:val="Domyślna czcionka akapitu362"/>
    <w:uiPriority w:val="1"/>
  </w:style>
  <w:style w:type="table" w:customStyle="1" w:styleId="Standardowy362">
    <w:name w:val="Standardowy362"/>
    <w:uiPriority w:val="99"/>
    <w:tblPr>
      <w:tblInd w:w="0" w:type="dxa"/>
      <w:tblCellMar>
        <w:top w:w="0" w:type="dxa"/>
        <w:left w:w="108" w:type="dxa"/>
        <w:bottom w:w="0" w:type="dxa"/>
        <w:right w:w="108" w:type="dxa"/>
      </w:tblCellMar>
    </w:tblPr>
  </w:style>
  <w:style w:type="numbering" w:customStyle="1" w:styleId="Bezlisty362">
    <w:name w:val="Bez listy362"/>
    <w:uiPriority w:val="99"/>
  </w:style>
  <w:style w:type="paragraph" w:customStyle="1" w:styleId="Normalny363">
    <w:name w:val="Normalny363"/>
    <w:qFormat/>
    <w:pPr>
      <w:spacing w:after="200"/>
    </w:pPr>
  </w:style>
  <w:style w:type="character" w:customStyle="1" w:styleId="Domylnaczcionkaakapitu363">
    <w:name w:val="Domyślna czcionka akapitu363"/>
    <w:uiPriority w:val="1"/>
  </w:style>
  <w:style w:type="table" w:customStyle="1" w:styleId="Standardowy363">
    <w:name w:val="Standardowy363"/>
    <w:uiPriority w:val="99"/>
    <w:tblPr>
      <w:tblInd w:w="0" w:type="dxa"/>
      <w:tblCellMar>
        <w:top w:w="0" w:type="dxa"/>
        <w:left w:w="108" w:type="dxa"/>
        <w:bottom w:w="0" w:type="dxa"/>
        <w:right w:w="108" w:type="dxa"/>
      </w:tblCellMar>
    </w:tblPr>
  </w:style>
  <w:style w:type="numbering" w:customStyle="1" w:styleId="Bezlisty363">
    <w:name w:val="Bez listy363"/>
    <w:uiPriority w:val="99"/>
  </w:style>
  <w:style w:type="paragraph" w:customStyle="1" w:styleId="Normalny364">
    <w:name w:val="Normalny364"/>
    <w:qFormat/>
    <w:pPr>
      <w:spacing w:after="200"/>
    </w:pPr>
  </w:style>
  <w:style w:type="character" w:customStyle="1" w:styleId="Domylnaczcionkaakapitu364">
    <w:name w:val="Domyślna czcionka akapitu364"/>
    <w:uiPriority w:val="1"/>
  </w:style>
  <w:style w:type="table" w:customStyle="1" w:styleId="Standardowy364">
    <w:name w:val="Standardowy364"/>
    <w:uiPriority w:val="99"/>
    <w:tblPr>
      <w:tblInd w:w="0" w:type="dxa"/>
      <w:tblCellMar>
        <w:top w:w="0" w:type="dxa"/>
        <w:left w:w="108" w:type="dxa"/>
        <w:bottom w:w="0" w:type="dxa"/>
        <w:right w:w="108" w:type="dxa"/>
      </w:tblCellMar>
    </w:tblPr>
  </w:style>
  <w:style w:type="numbering" w:customStyle="1" w:styleId="Bezlisty364">
    <w:name w:val="Bez listy364"/>
    <w:uiPriority w:val="99"/>
  </w:style>
  <w:style w:type="paragraph" w:customStyle="1" w:styleId="Normalny365">
    <w:name w:val="Normalny365"/>
    <w:qFormat/>
    <w:pPr>
      <w:spacing w:after="200"/>
    </w:pPr>
  </w:style>
  <w:style w:type="character" w:customStyle="1" w:styleId="Domylnaczcionkaakapitu365">
    <w:name w:val="Domyślna czcionka akapitu365"/>
    <w:uiPriority w:val="1"/>
  </w:style>
  <w:style w:type="table" w:customStyle="1" w:styleId="Standardowy365">
    <w:name w:val="Standardowy365"/>
    <w:uiPriority w:val="99"/>
    <w:tblPr>
      <w:tblInd w:w="0" w:type="dxa"/>
      <w:tblCellMar>
        <w:top w:w="0" w:type="dxa"/>
        <w:left w:w="108" w:type="dxa"/>
        <w:bottom w:w="0" w:type="dxa"/>
        <w:right w:w="108" w:type="dxa"/>
      </w:tblCellMar>
    </w:tblPr>
  </w:style>
  <w:style w:type="numbering" w:customStyle="1" w:styleId="Bezlisty365">
    <w:name w:val="Bez listy365"/>
    <w:uiPriority w:val="99"/>
  </w:style>
  <w:style w:type="paragraph" w:customStyle="1" w:styleId="Normalny366">
    <w:name w:val="Normalny366"/>
    <w:qFormat/>
    <w:pPr>
      <w:spacing w:after="200"/>
    </w:pPr>
  </w:style>
  <w:style w:type="character" w:customStyle="1" w:styleId="Domylnaczcionkaakapitu366">
    <w:name w:val="Domyślna czcionka akapitu366"/>
    <w:uiPriority w:val="1"/>
  </w:style>
  <w:style w:type="table" w:customStyle="1" w:styleId="Standardowy366">
    <w:name w:val="Standardowy366"/>
    <w:uiPriority w:val="99"/>
    <w:tblPr>
      <w:tblInd w:w="0" w:type="dxa"/>
      <w:tblCellMar>
        <w:top w:w="0" w:type="dxa"/>
        <w:left w:w="108" w:type="dxa"/>
        <w:bottom w:w="0" w:type="dxa"/>
        <w:right w:w="108" w:type="dxa"/>
      </w:tblCellMar>
    </w:tblPr>
  </w:style>
  <w:style w:type="numbering" w:customStyle="1" w:styleId="Bezlisty366">
    <w:name w:val="Bez listy366"/>
    <w:uiPriority w:val="99"/>
  </w:style>
  <w:style w:type="paragraph" w:customStyle="1" w:styleId="Normalny367">
    <w:name w:val="Normalny367"/>
    <w:qFormat/>
    <w:pPr>
      <w:spacing w:after="200"/>
    </w:pPr>
  </w:style>
  <w:style w:type="character" w:customStyle="1" w:styleId="Domylnaczcionkaakapitu367">
    <w:name w:val="Domyślna czcionka akapitu367"/>
    <w:uiPriority w:val="1"/>
  </w:style>
  <w:style w:type="table" w:customStyle="1" w:styleId="Standardowy367">
    <w:name w:val="Standardowy367"/>
    <w:uiPriority w:val="99"/>
    <w:tblPr>
      <w:tblInd w:w="0" w:type="dxa"/>
      <w:tblCellMar>
        <w:top w:w="0" w:type="dxa"/>
        <w:left w:w="108" w:type="dxa"/>
        <w:bottom w:w="0" w:type="dxa"/>
        <w:right w:w="108" w:type="dxa"/>
      </w:tblCellMar>
    </w:tblPr>
  </w:style>
  <w:style w:type="numbering" w:customStyle="1" w:styleId="Bezlisty367">
    <w:name w:val="Bez listy367"/>
    <w:uiPriority w:val="99"/>
  </w:style>
  <w:style w:type="paragraph" w:customStyle="1" w:styleId="Normalny368">
    <w:name w:val="Normalny368"/>
    <w:qFormat/>
    <w:pPr>
      <w:spacing w:after="200"/>
    </w:pPr>
  </w:style>
  <w:style w:type="character" w:customStyle="1" w:styleId="Domylnaczcionkaakapitu368">
    <w:name w:val="Domyślna czcionka akapitu368"/>
    <w:uiPriority w:val="1"/>
  </w:style>
  <w:style w:type="table" w:customStyle="1" w:styleId="Standardowy368">
    <w:name w:val="Standardowy368"/>
    <w:uiPriority w:val="99"/>
    <w:tblPr>
      <w:tblInd w:w="0" w:type="dxa"/>
      <w:tblCellMar>
        <w:top w:w="0" w:type="dxa"/>
        <w:left w:w="108" w:type="dxa"/>
        <w:bottom w:w="0" w:type="dxa"/>
        <w:right w:w="108" w:type="dxa"/>
      </w:tblCellMar>
    </w:tblPr>
  </w:style>
  <w:style w:type="numbering" w:customStyle="1" w:styleId="Bezlisty368">
    <w:name w:val="Bez listy368"/>
    <w:uiPriority w:val="99"/>
  </w:style>
  <w:style w:type="paragraph" w:customStyle="1" w:styleId="Normalny369">
    <w:name w:val="Normalny369"/>
    <w:qFormat/>
    <w:pPr>
      <w:spacing w:after="200"/>
    </w:pPr>
  </w:style>
  <w:style w:type="character" w:customStyle="1" w:styleId="Domylnaczcionkaakapitu369">
    <w:name w:val="Domyślna czcionka akapitu369"/>
    <w:uiPriority w:val="1"/>
  </w:style>
  <w:style w:type="table" w:customStyle="1" w:styleId="Standardowy369">
    <w:name w:val="Standardowy369"/>
    <w:uiPriority w:val="99"/>
    <w:tblPr>
      <w:tblInd w:w="0" w:type="dxa"/>
      <w:tblCellMar>
        <w:top w:w="0" w:type="dxa"/>
        <w:left w:w="108" w:type="dxa"/>
        <w:bottom w:w="0" w:type="dxa"/>
        <w:right w:w="108" w:type="dxa"/>
      </w:tblCellMar>
    </w:tblPr>
  </w:style>
  <w:style w:type="numbering" w:customStyle="1" w:styleId="Bezlisty369">
    <w:name w:val="Bez listy369"/>
    <w:uiPriority w:val="99"/>
  </w:style>
  <w:style w:type="paragraph" w:customStyle="1" w:styleId="Normalny370">
    <w:name w:val="Normalny370"/>
    <w:qFormat/>
    <w:pPr>
      <w:spacing w:after="200"/>
    </w:pPr>
  </w:style>
  <w:style w:type="character" w:customStyle="1" w:styleId="Domylnaczcionkaakapitu370">
    <w:name w:val="Domyślna czcionka akapitu370"/>
    <w:uiPriority w:val="1"/>
  </w:style>
  <w:style w:type="table" w:customStyle="1" w:styleId="Standardowy370">
    <w:name w:val="Standardowy370"/>
    <w:uiPriority w:val="99"/>
    <w:tblPr>
      <w:tblInd w:w="0" w:type="dxa"/>
      <w:tblCellMar>
        <w:top w:w="0" w:type="dxa"/>
        <w:left w:w="108" w:type="dxa"/>
        <w:bottom w:w="0" w:type="dxa"/>
        <w:right w:w="108" w:type="dxa"/>
      </w:tblCellMar>
    </w:tblPr>
  </w:style>
  <w:style w:type="numbering" w:customStyle="1" w:styleId="Bezlisty370">
    <w:name w:val="Bez listy370"/>
    <w:uiPriority w:val="99"/>
  </w:style>
  <w:style w:type="paragraph" w:customStyle="1" w:styleId="Normalny371">
    <w:name w:val="Normalny371"/>
    <w:qFormat/>
    <w:pPr>
      <w:spacing w:after="200"/>
    </w:pPr>
  </w:style>
  <w:style w:type="character" w:customStyle="1" w:styleId="Domylnaczcionkaakapitu371">
    <w:name w:val="Domyślna czcionka akapitu371"/>
    <w:uiPriority w:val="1"/>
  </w:style>
  <w:style w:type="table" w:customStyle="1" w:styleId="Standardowy371">
    <w:name w:val="Standardowy371"/>
    <w:uiPriority w:val="99"/>
    <w:tblPr>
      <w:tblInd w:w="0" w:type="dxa"/>
      <w:tblCellMar>
        <w:top w:w="0" w:type="dxa"/>
        <w:left w:w="108" w:type="dxa"/>
        <w:bottom w:w="0" w:type="dxa"/>
        <w:right w:w="108" w:type="dxa"/>
      </w:tblCellMar>
    </w:tblPr>
  </w:style>
  <w:style w:type="numbering" w:customStyle="1" w:styleId="Bezlisty371">
    <w:name w:val="Bez listy371"/>
    <w:uiPriority w:val="99"/>
  </w:style>
  <w:style w:type="paragraph" w:customStyle="1" w:styleId="Normalny372">
    <w:name w:val="Normalny372"/>
    <w:qFormat/>
    <w:pPr>
      <w:spacing w:after="200"/>
    </w:pPr>
  </w:style>
  <w:style w:type="character" w:customStyle="1" w:styleId="Domylnaczcionkaakapitu372">
    <w:name w:val="Domyślna czcionka akapitu372"/>
    <w:uiPriority w:val="1"/>
  </w:style>
  <w:style w:type="table" w:customStyle="1" w:styleId="Standardowy372">
    <w:name w:val="Standardowy372"/>
    <w:uiPriority w:val="99"/>
    <w:tblPr>
      <w:tblInd w:w="0" w:type="dxa"/>
      <w:tblCellMar>
        <w:top w:w="0" w:type="dxa"/>
        <w:left w:w="108" w:type="dxa"/>
        <w:bottom w:w="0" w:type="dxa"/>
        <w:right w:w="108" w:type="dxa"/>
      </w:tblCellMar>
    </w:tblPr>
  </w:style>
  <w:style w:type="numbering" w:customStyle="1" w:styleId="Bezlisty372">
    <w:name w:val="Bez listy372"/>
    <w:uiPriority w:val="99"/>
  </w:style>
  <w:style w:type="paragraph" w:customStyle="1" w:styleId="Normalny373">
    <w:name w:val="Normalny373"/>
    <w:qFormat/>
    <w:pPr>
      <w:spacing w:after="200"/>
    </w:pPr>
  </w:style>
  <w:style w:type="character" w:customStyle="1" w:styleId="Domylnaczcionkaakapitu373">
    <w:name w:val="Domyślna czcionka akapitu373"/>
    <w:uiPriority w:val="1"/>
  </w:style>
  <w:style w:type="table" w:customStyle="1" w:styleId="Standardowy373">
    <w:name w:val="Standardowy373"/>
    <w:uiPriority w:val="99"/>
    <w:tblPr>
      <w:tblInd w:w="0" w:type="dxa"/>
      <w:tblCellMar>
        <w:top w:w="0" w:type="dxa"/>
        <w:left w:w="108" w:type="dxa"/>
        <w:bottom w:w="0" w:type="dxa"/>
        <w:right w:w="108" w:type="dxa"/>
      </w:tblCellMar>
    </w:tblPr>
  </w:style>
  <w:style w:type="numbering" w:customStyle="1" w:styleId="Bezlisty373">
    <w:name w:val="Bez listy373"/>
    <w:uiPriority w:val="99"/>
  </w:style>
  <w:style w:type="paragraph" w:customStyle="1" w:styleId="Normalny374">
    <w:name w:val="Normalny374"/>
    <w:qFormat/>
    <w:pPr>
      <w:spacing w:after="200"/>
    </w:pPr>
  </w:style>
  <w:style w:type="character" w:customStyle="1" w:styleId="Domylnaczcionkaakapitu374">
    <w:name w:val="Domyślna czcionka akapitu374"/>
    <w:uiPriority w:val="1"/>
  </w:style>
  <w:style w:type="table" w:customStyle="1" w:styleId="Standardowy374">
    <w:name w:val="Standardowy374"/>
    <w:uiPriority w:val="99"/>
    <w:tblPr>
      <w:tblInd w:w="0" w:type="dxa"/>
      <w:tblCellMar>
        <w:top w:w="0" w:type="dxa"/>
        <w:left w:w="108" w:type="dxa"/>
        <w:bottom w:w="0" w:type="dxa"/>
        <w:right w:w="108" w:type="dxa"/>
      </w:tblCellMar>
    </w:tblPr>
  </w:style>
  <w:style w:type="numbering" w:customStyle="1" w:styleId="Bezlisty374">
    <w:name w:val="Bez listy374"/>
    <w:uiPriority w:val="99"/>
  </w:style>
  <w:style w:type="paragraph" w:customStyle="1" w:styleId="Normalny375">
    <w:name w:val="Normalny375"/>
    <w:qFormat/>
    <w:pPr>
      <w:spacing w:after="200"/>
    </w:pPr>
  </w:style>
  <w:style w:type="character" w:customStyle="1" w:styleId="Domylnaczcionkaakapitu375">
    <w:name w:val="Domyślna czcionka akapitu375"/>
    <w:uiPriority w:val="1"/>
  </w:style>
  <w:style w:type="table" w:customStyle="1" w:styleId="Standardowy375">
    <w:name w:val="Standardowy375"/>
    <w:uiPriority w:val="99"/>
    <w:tblPr>
      <w:tblInd w:w="0" w:type="dxa"/>
      <w:tblCellMar>
        <w:top w:w="0" w:type="dxa"/>
        <w:left w:w="108" w:type="dxa"/>
        <w:bottom w:w="0" w:type="dxa"/>
        <w:right w:w="108" w:type="dxa"/>
      </w:tblCellMar>
    </w:tblPr>
  </w:style>
  <w:style w:type="numbering" w:customStyle="1" w:styleId="Bezlisty375">
    <w:name w:val="Bez listy375"/>
    <w:uiPriority w:val="99"/>
  </w:style>
  <w:style w:type="paragraph" w:customStyle="1" w:styleId="Normalny376">
    <w:name w:val="Normalny376"/>
    <w:qFormat/>
    <w:pPr>
      <w:spacing w:after="200"/>
    </w:pPr>
  </w:style>
  <w:style w:type="character" w:customStyle="1" w:styleId="Domylnaczcionkaakapitu376">
    <w:name w:val="Domyślna czcionka akapitu376"/>
    <w:uiPriority w:val="1"/>
  </w:style>
  <w:style w:type="table" w:customStyle="1" w:styleId="Standardowy376">
    <w:name w:val="Standardowy376"/>
    <w:uiPriority w:val="99"/>
    <w:tblPr>
      <w:tblInd w:w="0" w:type="dxa"/>
      <w:tblCellMar>
        <w:top w:w="0" w:type="dxa"/>
        <w:left w:w="108" w:type="dxa"/>
        <w:bottom w:w="0" w:type="dxa"/>
        <w:right w:w="108" w:type="dxa"/>
      </w:tblCellMar>
    </w:tblPr>
  </w:style>
  <w:style w:type="numbering" w:customStyle="1" w:styleId="Bezlisty376">
    <w:name w:val="Bez listy376"/>
    <w:uiPriority w:val="99"/>
  </w:style>
  <w:style w:type="paragraph" w:customStyle="1" w:styleId="Normalny377">
    <w:name w:val="Normalny377"/>
    <w:qFormat/>
    <w:pPr>
      <w:spacing w:after="200"/>
    </w:pPr>
  </w:style>
  <w:style w:type="character" w:customStyle="1" w:styleId="Domylnaczcionkaakapitu377">
    <w:name w:val="Domyślna czcionka akapitu377"/>
    <w:uiPriority w:val="1"/>
  </w:style>
  <w:style w:type="table" w:customStyle="1" w:styleId="Standardowy377">
    <w:name w:val="Standardowy377"/>
    <w:uiPriority w:val="99"/>
    <w:tblPr>
      <w:tblInd w:w="0" w:type="dxa"/>
      <w:tblCellMar>
        <w:top w:w="0" w:type="dxa"/>
        <w:left w:w="108" w:type="dxa"/>
        <w:bottom w:w="0" w:type="dxa"/>
        <w:right w:w="108" w:type="dxa"/>
      </w:tblCellMar>
    </w:tblPr>
  </w:style>
  <w:style w:type="numbering" w:customStyle="1" w:styleId="Bezlisty377">
    <w:name w:val="Bez listy377"/>
    <w:uiPriority w:val="99"/>
  </w:style>
  <w:style w:type="paragraph" w:customStyle="1" w:styleId="Normalny378">
    <w:name w:val="Normalny378"/>
    <w:qFormat/>
    <w:pPr>
      <w:spacing w:after="200"/>
    </w:pPr>
  </w:style>
  <w:style w:type="character" w:customStyle="1" w:styleId="Domylnaczcionkaakapitu378">
    <w:name w:val="Domyślna czcionka akapitu378"/>
    <w:uiPriority w:val="1"/>
  </w:style>
  <w:style w:type="table" w:customStyle="1" w:styleId="Standardowy378">
    <w:name w:val="Standardowy378"/>
    <w:uiPriority w:val="99"/>
    <w:tblPr>
      <w:tblInd w:w="0" w:type="dxa"/>
      <w:tblCellMar>
        <w:top w:w="0" w:type="dxa"/>
        <w:left w:w="108" w:type="dxa"/>
        <w:bottom w:w="0" w:type="dxa"/>
        <w:right w:w="108" w:type="dxa"/>
      </w:tblCellMar>
    </w:tblPr>
  </w:style>
  <w:style w:type="numbering" w:customStyle="1" w:styleId="Bezlisty378">
    <w:name w:val="Bez listy378"/>
    <w:uiPriority w:val="99"/>
  </w:style>
  <w:style w:type="paragraph" w:customStyle="1" w:styleId="Normalny379">
    <w:name w:val="Normalny379"/>
    <w:qFormat/>
    <w:pPr>
      <w:spacing w:after="200"/>
    </w:pPr>
  </w:style>
  <w:style w:type="character" w:customStyle="1" w:styleId="Domylnaczcionkaakapitu379">
    <w:name w:val="Domyślna czcionka akapitu379"/>
    <w:uiPriority w:val="1"/>
  </w:style>
  <w:style w:type="table" w:customStyle="1" w:styleId="Standardowy379">
    <w:name w:val="Standardowy379"/>
    <w:uiPriority w:val="99"/>
    <w:tblPr>
      <w:tblInd w:w="0" w:type="dxa"/>
      <w:tblCellMar>
        <w:top w:w="0" w:type="dxa"/>
        <w:left w:w="108" w:type="dxa"/>
        <w:bottom w:w="0" w:type="dxa"/>
        <w:right w:w="108" w:type="dxa"/>
      </w:tblCellMar>
    </w:tblPr>
  </w:style>
  <w:style w:type="numbering" w:customStyle="1" w:styleId="Bezlisty379">
    <w:name w:val="Bez listy379"/>
    <w:uiPriority w:val="99"/>
  </w:style>
  <w:style w:type="paragraph" w:customStyle="1" w:styleId="Normalny380">
    <w:name w:val="Normalny380"/>
    <w:qFormat/>
    <w:pPr>
      <w:spacing w:after="200"/>
    </w:pPr>
  </w:style>
  <w:style w:type="character" w:customStyle="1" w:styleId="Domylnaczcionkaakapitu380">
    <w:name w:val="Domyślna czcionka akapitu380"/>
    <w:uiPriority w:val="1"/>
  </w:style>
  <w:style w:type="table" w:customStyle="1" w:styleId="Standardowy380">
    <w:name w:val="Standardowy380"/>
    <w:uiPriority w:val="99"/>
    <w:tblPr>
      <w:tblInd w:w="0" w:type="dxa"/>
      <w:tblCellMar>
        <w:top w:w="0" w:type="dxa"/>
        <w:left w:w="108" w:type="dxa"/>
        <w:bottom w:w="0" w:type="dxa"/>
        <w:right w:w="108" w:type="dxa"/>
      </w:tblCellMar>
    </w:tblPr>
  </w:style>
  <w:style w:type="numbering" w:customStyle="1" w:styleId="Bezlisty380">
    <w:name w:val="Bez listy380"/>
    <w:uiPriority w:val="99"/>
  </w:style>
  <w:style w:type="paragraph" w:customStyle="1" w:styleId="Normalny381">
    <w:name w:val="Normalny381"/>
    <w:qFormat/>
    <w:pPr>
      <w:spacing w:after="200"/>
    </w:pPr>
  </w:style>
  <w:style w:type="character" w:customStyle="1" w:styleId="Domylnaczcionkaakapitu381">
    <w:name w:val="Domyślna czcionka akapitu381"/>
    <w:uiPriority w:val="1"/>
  </w:style>
  <w:style w:type="table" w:customStyle="1" w:styleId="Standardowy381">
    <w:name w:val="Standardowy381"/>
    <w:uiPriority w:val="99"/>
    <w:tblPr>
      <w:tblInd w:w="0" w:type="dxa"/>
      <w:tblCellMar>
        <w:top w:w="0" w:type="dxa"/>
        <w:left w:w="108" w:type="dxa"/>
        <w:bottom w:w="0" w:type="dxa"/>
        <w:right w:w="108" w:type="dxa"/>
      </w:tblCellMar>
    </w:tblPr>
  </w:style>
  <w:style w:type="numbering" w:customStyle="1" w:styleId="Bezlisty381">
    <w:name w:val="Bez listy381"/>
    <w:uiPriority w:val="99"/>
  </w:style>
  <w:style w:type="paragraph" w:customStyle="1" w:styleId="Normalny382">
    <w:name w:val="Normalny382"/>
    <w:qFormat/>
    <w:pPr>
      <w:spacing w:after="200"/>
    </w:pPr>
  </w:style>
  <w:style w:type="character" w:customStyle="1" w:styleId="Domylnaczcionkaakapitu382">
    <w:name w:val="Domyślna czcionka akapitu382"/>
    <w:uiPriority w:val="1"/>
  </w:style>
  <w:style w:type="table" w:customStyle="1" w:styleId="Standardowy382">
    <w:name w:val="Standardowy382"/>
    <w:uiPriority w:val="99"/>
    <w:tblPr>
      <w:tblInd w:w="0" w:type="dxa"/>
      <w:tblCellMar>
        <w:top w:w="0" w:type="dxa"/>
        <w:left w:w="108" w:type="dxa"/>
        <w:bottom w:w="0" w:type="dxa"/>
        <w:right w:w="108" w:type="dxa"/>
      </w:tblCellMar>
    </w:tblPr>
  </w:style>
  <w:style w:type="numbering" w:customStyle="1" w:styleId="Bezlisty382">
    <w:name w:val="Bez listy382"/>
    <w:uiPriority w:val="99"/>
  </w:style>
  <w:style w:type="paragraph" w:customStyle="1" w:styleId="Normalny383">
    <w:name w:val="Normalny383"/>
    <w:qFormat/>
    <w:pPr>
      <w:spacing w:after="200"/>
    </w:pPr>
  </w:style>
  <w:style w:type="character" w:customStyle="1" w:styleId="Domylnaczcionkaakapitu383">
    <w:name w:val="Domyślna czcionka akapitu383"/>
    <w:uiPriority w:val="1"/>
  </w:style>
  <w:style w:type="table" w:customStyle="1" w:styleId="Standardowy383">
    <w:name w:val="Standardowy383"/>
    <w:uiPriority w:val="99"/>
    <w:tblPr>
      <w:tblInd w:w="0" w:type="dxa"/>
      <w:tblCellMar>
        <w:top w:w="0" w:type="dxa"/>
        <w:left w:w="108" w:type="dxa"/>
        <w:bottom w:w="0" w:type="dxa"/>
        <w:right w:w="108" w:type="dxa"/>
      </w:tblCellMar>
    </w:tblPr>
  </w:style>
  <w:style w:type="numbering" w:customStyle="1" w:styleId="Bezlisty383">
    <w:name w:val="Bez listy383"/>
    <w:uiPriority w:val="99"/>
  </w:style>
  <w:style w:type="paragraph" w:customStyle="1" w:styleId="Normalny384">
    <w:name w:val="Normalny384"/>
    <w:qFormat/>
    <w:pPr>
      <w:spacing w:after="200"/>
    </w:pPr>
  </w:style>
  <w:style w:type="character" w:customStyle="1" w:styleId="Domylnaczcionkaakapitu384">
    <w:name w:val="Domyślna czcionka akapitu384"/>
    <w:uiPriority w:val="1"/>
  </w:style>
  <w:style w:type="table" w:customStyle="1" w:styleId="Standardowy384">
    <w:name w:val="Standardowy384"/>
    <w:uiPriority w:val="99"/>
    <w:tblPr>
      <w:tblInd w:w="0" w:type="dxa"/>
      <w:tblCellMar>
        <w:top w:w="0" w:type="dxa"/>
        <w:left w:w="108" w:type="dxa"/>
        <w:bottom w:w="0" w:type="dxa"/>
        <w:right w:w="108" w:type="dxa"/>
      </w:tblCellMar>
    </w:tblPr>
  </w:style>
  <w:style w:type="numbering" w:customStyle="1" w:styleId="Bezlisty384">
    <w:name w:val="Bez listy384"/>
    <w:uiPriority w:val="99"/>
  </w:style>
  <w:style w:type="paragraph" w:customStyle="1" w:styleId="Normalny385">
    <w:name w:val="Normalny385"/>
    <w:qFormat/>
    <w:pPr>
      <w:spacing w:after="200"/>
    </w:pPr>
  </w:style>
  <w:style w:type="character" w:customStyle="1" w:styleId="Domylnaczcionkaakapitu385">
    <w:name w:val="Domyślna czcionka akapitu385"/>
    <w:uiPriority w:val="1"/>
  </w:style>
  <w:style w:type="table" w:customStyle="1" w:styleId="Standardowy385">
    <w:name w:val="Standardowy385"/>
    <w:uiPriority w:val="99"/>
    <w:tblPr>
      <w:tblInd w:w="0" w:type="dxa"/>
      <w:tblCellMar>
        <w:top w:w="0" w:type="dxa"/>
        <w:left w:w="108" w:type="dxa"/>
        <w:bottom w:w="0" w:type="dxa"/>
        <w:right w:w="108" w:type="dxa"/>
      </w:tblCellMar>
    </w:tblPr>
  </w:style>
  <w:style w:type="numbering" w:customStyle="1" w:styleId="Bezlisty385">
    <w:name w:val="Bez listy385"/>
    <w:uiPriority w:val="99"/>
  </w:style>
  <w:style w:type="paragraph" w:customStyle="1" w:styleId="Normalny386">
    <w:name w:val="Normalny386"/>
    <w:qFormat/>
    <w:pPr>
      <w:spacing w:after="200"/>
    </w:pPr>
  </w:style>
  <w:style w:type="character" w:customStyle="1" w:styleId="Domylnaczcionkaakapitu386">
    <w:name w:val="Domyślna czcionka akapitu386"/>
    <w:uiPriority w:val="1"/>
  </w:style>
  <w:style w:type="table" w:customStyle="1" w:styleId="Standardowy386">
    <w:name w:val="Standardowy386"/>
    <w:uiPriority w:val="99"/>
    <w:tblPr>
      <w:tblInd w:w="0" w:type="dxa"/>
      <w:tblCellMar>
        <w:top w:w="0" w:type="dxa"/>
        <w:left w:w="108" w:type="dxa"/>
        <w:bottom w:w="0" w:type="dxa"/>
        <w:right w:w="108" w:type="dxa"/>
      </w:tblCellMar>
    </w:tblPr>
  </w:style>
  <w:style w:type="numbering" w:customStyle="1" w:styleId="Bezlisty386">
    <w:name w:val="Bez listy386"/>
    <w:uiPriority w:val="99"/>
  </w:style>
  <w:style w:type="paragraph" w:customStyle="1" w:styleId="Normalny387">
    <w:name w:val="Normalny387"/>
    <w:qFormat/>
    <w:pPr>
      <w:spacing w:after="200"/>
    </w:pPr>
  </w:style>
  <w:style w:type="character" w:customStyle="1" w:styleId="Domylnaczcionkaakapitu387">
    <w:name w:val="Domyślna czcionka akapitu387"/>
    <w:uiPriority w:val="1"/>
  </w:style>
  <w:style w:type="table" w:customStyle="1" w:styleId="Standardowy387">
    <w:name w:val="Standardowy387"/>
    <w:uiPriority w:val="99"/>
    <w:tblPr>
      <w:tblInd w:w="0" w:type="dxa"/>
      <w:tblCellMar>
        <w:top w:w="0" w:type="dxa"/>
        <w:left w:w="108" w:type="dxa"/>
        <w:bottom w:w="0" w:type="dxa"/>
        <w:right w:w="108" w:type="dxa"/>
      </w:tblCellMar>
    </w:tblPr>
  </w:style>
  <w:style w:type="numbering" w:customStyle="1" w:styleId="Bezlisty387">
    <w:name w:val="Bez listy387"/>
    <w:uiPriority w:val="99"/>
  </w:style>
  <w:style w:type="paragraph" w:customStyle="1" w:styleId="Normalny388">
    <w:name w:val="Normalny388"/>
    <w:qFormat/>
    <w:pPr>
      <w:spacing w:after="200"/>
    </w:pPr>
  </w:style>
  <w:style w:type="character" w:customStyle="1" w:styleId="Domylnaczcionkaakapitu388">
    <w:name w:val="Domyślna czcionka akapitu388"/>
    <w:uiPriority w:val="1"/>
  </w:style>
  <w:style w:type="table" w:customStyle="1" w:styleId="Standardowy388">
    <w:name w:val="Standardowy388"/>
    <w:uiPriority w:val="99"/>
    <w:tblPr>
      <w:tblInd w:w="0" w:type="dxa"/>
      <w:tblCellMar>
        <w:top w:w="0" w:type="dxa"/>
        <w:left w:w="108" w:type="dxa"/>
        <w:bottom w:w="0" w:type="dxa"/>
        <w:right w:w="108" w:type="dxa"/>
      </w:tblCellMar>
    </w:tblPr>
  </w:style>
  <w:style w:type="numbering" w:customStyle="1" w:styleId="Bezlisty388">
    <w:name w:val="Bez listy388"/>
    <w:uiPriority w:val="99"/>
  </w:style>
  <w:style w:type="paragraph" w:customStyle="1" w:styleId="Normalny389">
    <w:name w:val="Normalny389"/>
    <w:qFormat/>
    <w:pPr>
      <w:spacing w:after="200"/>
    </w:pPr>
  </w:style>
  <w:style w:type="character" w:customStyle="1" w:styleId="Domylnaczcionkaakapitu389">
    <w:name w:val="Domyślna czcionka akapitu389"/>
    <w:uiPriority w:val="1"/>
  </w:style>
  <w:style w:type="table" w:customStyle="1" w:styleId="Standardowy389">
    <w:name w:val="Standardowy389"/>
    <w:uiPriority w:val="99"/>
    <w:tblPr>
      <w:tblInd w:w="0" w:type="dxa"/>
      <w:tblCellMar>
        <w:top w:w="0" w:type="dxa"/>
        <w:left w:w="108" w:type="dxa"/>
        <w:bottom w:w="0" w:type="dxa"/>
        <w:right w:w="108" w:type="dxa"/>
      </w:tblCellMar>
    </w:tblPr>
  </w:style>
  <w:style w:type="numbering" w:customStyle="1" w:styleId="Bezlisty389">
    <w:name w:val="Bez listy389"/>
    <w:uiPriority w:val="99"/>
  </w:style>
  <w:style w:type="paragraph" w:customStyle="1" w:styleId="Normalny390">
    <w:name w:val="Normalny390"/>
    <w:qFormat/>
    <w:pPr>
      <w:spacing w:after="200"/>
    </w:pPr>
  </w:style>
  <w:style w:type="character" w:customStyle="1" w:styleId="Domylnaczcionkaakapitu390">
    <w:name w:val="Domyślna czcionka akapitu390"/>
    <w:uiPriority w:val="1"/>
  </w:style>
  <w:style w:type="table" w:customStyle="1" w:styleId="Standardowy390">
    <w:name w:val="Standardowy390"/>
    <w:uiPriority w:val="99"/>
    <w:tblPr>
      <w:tblInd w:w="0" w:type="dxa"/>
      <w:tblCellMar>
        <w:top w:w="0" w:type="dxa"/>
        <w:left w:w="108" w:type="dxa"/>
        <w:bottom w:w="0" w:type="dxa"/>
        <w:right w:w="108" w:type="dxa"/>
      </w:tblCellMar>
    </w:tblPr>
  </w:style>
  <w:style w:type="numbering" w:customStyle="1" w:styleId="Bezlisty390">
    <w:name w:val="Bez listy390"/>
    <w:uiPriority w:val="99"/>
  </w:style>
  <w:style w:type="paragraph" w:customStyle="1" w:styleId="Normalny391">
    <w:name w:val="Normalny391"/>
    <w:qFormat/>
    <w:pPr>
      <w:spacing w:after="200"/>
    </w:pPr>
  </w:style>
  <w:style w:type="character" w:customStyle="1" w:styleId="Domylnaczcionkaakapitu391">
    <w:name w:val="Domyślna czcionka akapitu391"/>
    <w:uiPriority w:val="1"/>
  </w:style>
  <w:style w:type="table" w:customStyle="1" w:styleId="Standardowy391">
    <w:name w:val="Standardowy391"/>
    <w:uiPriority w:val="99"/>
    <w:tblPr>
      <w:tblInd w:w="0" w:type="dxa"/>
      <w:tblCellMar>
        <w:top w:w="0" w:type="dxa"/>
        <w:left w:w="108" w:type="dxa"/>
        <w:bottom w:w="0" w:type="dxa"/>
        <w:right w:w="108" w:type="dxa"/>
      </w:tblCellMar>
    </w:tblPr>
  </w:style>
  <w:style w:type="numbering" w:customStyle="1" w:styleId="Bezlisty391">
    <w:name w:val="Bez listy391"/>
    <w:uiPriority w:val="99"/>
  </w:style>
  <w:style w:type="paragraph" w:customStyle="1" w:styleId="Normalny392">
    <w:name w:val="Normalny392"/>
    <w:qFormat/>
    <w:pPr>
      <w:spacing w:after="200"/>
    </w:pPr>
  </w:style>
  <w:style w:type="character" w:customStyle="1" w:styleId="Domylnaczcionkaakapitu392">
    <w:name w:val="Domyślna czcionka akapitu392"/>
    <w:uiPriority w:val="1"/>
  </w:style>
  <w:style w:type="table" w:customStyle="1" w:styleId="Standardowy392">
    <w:name w:val="Standardowy392"/>
    <w:uiPriority w:val="99"/>
    <w:tblPr>
      <w:tblInd w:w="0" w:type="dxa"/>
      <w:tblCellMar>
        <w:top w:w="0" w:type="dxa"/>
        <w:left w:w="108" w:type="dxa"/>
        <w:bottom w:w="0" w:type="dxa"/>
        <w:right w:w="108" w:type="dxa"/>
      </w:tblCellMar>
    </w:tblPr>
  </w:style>
  <w:style w:type="numbering" w:customStyle="1" w:styleId="Bezlisty392">
    <w:name w:val="Bez listy392"/>
    <w:uiPriority w:val="99"/>
  </w:style>
  <w:style w:type="paragraph" w:customStyle="1" w:styleId="Normalny393">
    <w:name w:val="Normalny393"/>
    <w:qFormat/>
    <w:pPr>
      <w:spacing w:after="200"/>
    </w:pPr>
  </w:style>
  <w:style w:type="character" w:customStyle="1" w:styleId="Domylnaczcionkaakapitu393">
    <w:name w:val="Domyślna czcionka akapitu393"/>
    <w:uiPriority w:val="1"/>
  </w:style>
  <w:style w:type="table" w:customStyle="1" w:styleId="Standardowy393">
    <w:name w:val="Standardowy393"/>
    <w:uiPriority w:val="99"/>
    <w:tblPr>
      <w:tblInd w:w="0" w:type="dxa"/>
      <w:tblCellMar>
        <w:top w:w="0" w:type="dxa"/>
        <w:left w:w="108" w:type="dxa"/>
        <w:bottom w:w="0" w:type="dxa"/>
        <w:right w:w="108" w:type="dxa"/>
      </w:tblCellMar>
    </w:tblPr>
  </w:style>
  <w:style w:type="numbering" w:customStyle="1" w:styleId="Bezlisty393">
    <w:name w:val="Bez listy393"/>
    <w:uiPriority w:val="99"/>
  </w:style>
  <w:style w:type="paragraph" w:customStyle="1" w:styleId="Normalny394">
    <w:name w:val="Normalny394"/>
    <w:qFormat/>
    <w:pPr>
      <w:spacing w:after="200"/>
    </w:pPr>
  </w:style>
  <w:style w:type="character" w:customStyle="1" w:styleId="Domylnaczcionkaakapitu394">
    <w:name w:val="Domyślna czcionka akapitu394"/>
    <w:uiPriority w:val="1"/>
  </w:style>
  <w:style w:type="table" w:customStyle="1" w:styleId="Standardowy394">
    <w:name w:val="Standardowy394"/>
    <w:uiPriority w:val="99"/>
    <w:tblPr>
      <w:tblInd w:w="0" w:type="dxa"/>
      <w:tblCellMar>
        <w:top w:w="0" w:type="dxa"/>
        <w:left w:w="108" w:type="dxa"/>
        <w:bottom w:w="0" w:type="dxa"/>
        <w:right w:w="108" w:type="dxa"/>
      </w:tblCellMar>
    </w:tblPr>
  </w:style>
  <w:style w:type="numbering" w:customStyle="1" w:styleId="Bezlisty394">
    <w:name w:val="Bez listy394"/>
    <w:uiPriority w:val="99"/>
  </w:style>
  <w:style w:type="paragraph" w:customStyle="1" w:styleId="Normalny395">
    <w:name w:val="Normalny395"/>
    <w:qFormat/>
    <w:pPr>
      <w:spacing w:after="200"/>
    </w:pPr>
  </w:style>
  <w:style w:type="character" w:customStyle="1" w:styleId="Domylnaczcionkaakapitu395">
    <w:name w:val="Domyślna czcionka akapitu395"/>
    <w:uiPriority w:val="1"/>
  </w:style>
  <w:style w:type="table" w:customStyle="1" w:styleId="Standardowy395">
    <w:name w:val="Standardowy395"/>
    <w:uiPriority w:val="99"/>
    <w:tblPr>
      <w:tblInd w:w="0" w:type="dxa"/>
      <w:tblCellMar>
        <w:top w:w="0" w:type="dxa"/>
        <w:left w:w="108" w:type="dxa"/>
        <w:bottom w:w="0" w:type="dxa"/>
        <w:right w:w="108" w:type="dxa"/>
      </w:tblCellMar>
    </w:tblPr>
  </w:style>
  <w:style w:type="numbering" w:customStyle="1" w:styleId="Bezlisty395">
    <w:name w:val="Bez listy395"/>
    <w:uiPriority w:val="99"/>
  </w:style>
  <w:style w:type="paragraph" w:customStyle="1" w:styleId="Normalny396">
    <w:name w:val="Normalny396"/>
    <w:qFormat/>
    <w:pPr>
      <w:spacing w:after="200"/>
    </w:pPr>
  </w:style>
  <w:style w:type="character" w:customStyle="1" w:styleId="Domylnaczcionkaakapitu396">
    <w:name w:val="Domyślna czcionka akapitu396"/>
    <w:uiPriority w:val="1"/>
  </w:style>
  <w:style w:type="table" w:customStyle="1" w:styleId="Standardowy396">
    <w:name w:val="Standardowy396"/>
    <w:uiPriority w:val="99"/>
    <w:tblPr>
      <w:tblInd w:w="0" w:type="dxa"/>
      <w:tblCellMar>
        <w:top w:w="0" w:type="dxa"/>
        <w:left w:w="108" w:type="dxa"/>
        <w:bottom w:w="0" w:type="dxa"/>
        <w:right w:w="108" w:type="dxa"/>
      </w:tblCellMar>
    </w:tblPr>
  </w:style>
  <w:style w:type="numbering" w:customStyle="1" w:styleId="Bezlisty396">
    <w:name w:val="Bez listy396"/>
    <w:uiPriority w:val="99"/>
  </w:style>
  <w:style w:type="paragraph" w:customStyle="1" w:styleId="Normalny397">
    <w:name w:val="Normalny397"/>
    <w:qFormat/>
    <w:pPr>
      <w:spacing w:after="200"/>
    </w:pPr>
  </w:style>
  <w:style w:type="character" w:customStyle="1" w:styleId="Domylnaczcionkaakapitu397">
    <w:name w:val="Domyślna czcionka akapitu397"/>
    <w:uiPriority w:val="1"/>
  </w:style>
  <w:style w:type="table" w:customStyle="1" w:styleId="Standardowy397">
    <w:name w:val="Standardowy397"/>
    <w:uiPriority w:val="99"/>
    <w:tblPr>
      <w:tblInd w:w="0" w:type="dxa"/>
      <w:tblCellMar>
        <w:top w:w="0" w:type="dxa"/>
        <w:left w:w="108" w:type="dxa"/>
        <w:bottom w:w="0" w:type="dxa"/>
        <w:right w:w="108" w:type="dxa"/>
      </w:tblCellMar>
    </w:tblPr>
  </w:style>
  <w:style w:type="numbering" w:customStyle="1" w:styleId="Bezlisty397">
    <w:name w:val="Bez listy397"/>
    <w:uiPriority w:val="99"/>
  </w:style>
  <w:style w:type="paragraph" w:customStyle="1" w:styleId="Normalny398">
    <w:name w:val="Normalny398"/>
    <w:qFormat/>
    <w:pPr>
      <w:spacing w:after="200"/>
    </w:pPr>
  </w:style>
  <w:style w:type="character" w:customStyle="1" w:styleId="Domylnaczcionkaakapitu398">
    <w:name w:val="Domyślna czcionka akapitu398"/>
    <w:uiPriority w:val="1"/>
  </w:style>
  <w:style w:type="table" w:customStyle="1" w:styleId="Standardowy398">
    <w:name w:val="Standardowy398"/>
    <w:uiPriority w:val="99"/>
    <w:tblPr>
      <w:tblInd w:w="0" w:type="dxa"/>
      <w:tblCellMar>
        <w:top w:w="0" w:type="dxa"/>
        <w:left w:w="108" w:type="dxa"/>
        <w:bottom w:w="0" w:type="dxa"/>
        <w:right w:w="108" w:type="dxa"/>
      </w:tblCellMar>
    </w:tblPr>
  </w:style>
  <w:style w:type="numbering" w:customStyle="1" w:styleId="Bezlisty398">
    <w:name w:val="Bez listy398"/>
    <w:uiPriority w:val="99"/>
  </w:style>
  <w:style w:type="paragraph" w:customStyle="1" w:styleId="Normalny399">
    <w:name w:val="Normalny399"/>
    <w:qFormat/>
    <w:pPr>
      <w:spacing w:after="200"/>
    </w:pPr>
  </w:style>
  <w:style w:type="character" w:customStyle="1" w:styleId="Domylnaczcionkaakapitu399">
    <w:name w:val="Domyślna czcionka akapitu399"/>
    <w:uiPriority w:val="1"/>
  </w:style>
  <w:style w:type="table" w:customStyle="1" w:styleId="Standardowy399">
    <w:name w:val="Standardowy399"/>
    <w:uiPriority w:val="99"/>
    <w:tblPr>
      <w:tblInd w:w="0" w:type="dxa"/>
      <w:tblCellMar>
        <w:top w:w="0" w:type="dxa"/>
        <w:left w:w="108" w:type="dxa"/>
        <w:bottom w:w="0" w:type="dxa"/>
        <w:right w:w="108" w:type="dxa"/>
      </w:tblCellMar>
    </w:tblPr>
  </w:style>
  <w:style w:type="numbering" w:customStyle="1" w:styleId="Bezlisty399">
    <w:name w:val="Bez listy399"/>
    <w:uiPriority w:val="99"/>
  </w:style>
  <w:style w:type="paragraph" w:customStyle="1" w:styleId="Normalny400">
    <w:name w:val="Normalny400"/>
    <w:qFormat/>
    <w:pPr>
      <w:spacing w:after="200"/>
    </w:pPr>
  </w:style>
  <w:style w:type="character" w:customStyle="1" w:styleId="Domylnaczcionkaakapitu400">
    <w:name w:val="Domyślna czcionka akapitu400"/>
    <w:uiPriority w:val="1"/>
  </w:style>
  <w:style w:type="table" w:customStyle="1" w:styleId="Standardowy400">
    <w:name w:val="Standardowy400"/>
    <w:uiPriority w:val="99"/>
    <w:tblPr>
      <w:tblInd w:w="0" w:type="dxa"/>
      <w:tblCellMar>
        <w:top w:w="0" w:type="dxa"/>
        <w:left w:w="108" w:type="dxa"/>
        <w:bottom w:w="0" w:type="dxa"/>
        <w:right w:w="108" w:type="dxa"/>
      </w:tblCellMar>
    </w:tblPr>
  </w:style>
  <w:style w:type="numbering" w:customStyle="1" w:styleId="Bezlisty400">
    <w:name w:val="Bez listy400"/>
    <w:uiPriority w:val="99"/>
  </w:style>
  <w:style w:type="paragraph" w:customStyle="1" w:styleId="Normalny401">
    <w:name w:val="Normalny401"/>
    <w:qFormat/>
    <w:pPr>
      <w:spacing w:after="200"/>
    </w:pPr>
  </w:style>
  <w:style w:type="character" w:customStyle="1" w:styleId="Domylnaczcionkaakapitu401">
    <w:name w:val="Domyślna czcionka akapitu401"/>
    <w:uiPriority w:val="1"/>
  </w:style>
  <w:style w:type="table" w:customStyle="1" w:styleId="Standardowy401">
    <w:name w:val="Standardowy401"/>
    <w:uiPriority w:val="99"/>
    <w:tblPr>
      <w:tblInd w:w="0" w:type="dxa"/>
      <w:tblCellMar>
        <w:top w:w="0" w:type="dxa"/>
        <w:left w:w="108" w:type="dxa"/>
        <w:bottom w:w="0" w:type="dxa"/>
        <w:right w:w="108" w:type="dxa"/>
      </w:tblCellMar>
    </w:tblPr>
  </w:style>
  <w:style w:type="numbering" w:customStyle="1" w:styleId="Bezlisty401">
    <w:name w:val="Bez listy401"/>
    <w:uiPriority w:val="99"/>
  </w:style>
  <w:style w:type="paragraph" w:customStyle="1" w:styleId="Normalny402">
    <w:name w:val="Normalny402"/>
    <w:qFormat/>
    <w:pPr>
      <w:spacing w:after="200"/>
    </w:pPr>
  </w:style>
  <w:style w:type="character" w:customStyle="1" w:styleId="Domylnaczcionkaakapitu402">
    <w:name w:val="Domyślna czcionka akapitu402"/>
    <w:uiPriority w:val="1"/>
  </w:style>
  <w:style w:type="table" w:customStyle="1" w:styleId="Standardowy402">
    <w:name w:val="Standardowy402"/>
    <w:uiPriority w:val="99"/>
    <w:tblPr>
      <w:tblInd w:w="0" w:type="dxa"/>
      <w:tblCellMar>
        <w:top w:w="0" w:type="dxa"/>
        <w:left w:w="108" w:type="dxa"/>
        <w:bottom w:w="0" w:type="dxa"/>
        <w:right w:w="108" w:type="dxa"/>
      </w:tblCellMar>
    </w:tblPr>
  </w:style>
  <w:style w:type="numbering" w:customStyle="1" w:styleId="Bezlisty402">
    <w:name w:val="Bez listy402"/>
    <w:uiPriority w:val="99"/>
  </w:style>
  <w:style w:type="paragraph" w:customStyle="1" w:styleId="Normalny403">
    <w:name w:val="Normalny403"/>
    <w:qFormat/>
    <w:pPr>
      <w:spacing w:after="200"/>
    </w:pPr>
  </w:style>
  <w:style w:type="character" w:customStyle="1" w:styleId="Domylnaczcionkaakapitu403">
    <w:name w:val="Domyślna czcionka akapitu403"/>
    <w:uiPriority w:val="1"/>
  </w:style>
  <w:style w:type="table" w:customStyle="1" w:styleId="Standardowy403">
    <w:name w:val="Standardowy403"/>
    <w:uiPriority w:val="99"/>
    <w:tblPr>
      <w:tblInd w:w="0" w:type="dxa"/>
      <w:tblCellMar>
        <w:top w:w="0" w:type="dxa"/>
        <w:left w:w="108" w:type="dxa"/>
        <w:bottom w:w="0" w:type="dxa"/>
        <w:right w:w="108" w:type="dxa"/>
      </w:tblCellMar>
    </w:tblPr>
  </w:style>
  <w:style w:type="numbering" w:customStyle="1" w:styleId="Bezlisty403">
    <w:name w:val="Bez listy403"/>
    <w:uiPriority w:val="99"/>
  </w:style>
  <w:style w:type="paragraph" w:customStyle="1" w:styleId="Normalny404">
    <w:name w:val="Normalny404"/>
    <w:qFormat/>
    <w:pPr>
      <w:spacing w:after="200"/>
    </w:pPr>
  </w:style>
  <w:style w:type="character" w:customStyle="1" w:styleId="Domylnaczcionkaakapitu404">
    <w:name w:val="Domyślna czcionka akapitu404"/>
    <w:uiPriority w:val="1"/>
  </w:style>
  <w:style w:type="table" w:customStyle="1" w:styleId="Standardowy404">
    <w:name w:val="Standardowy404"/>
    <w:uiPriority w:val="99"/>
    <w:tblPr>
      <w:tblInd w:w="0" w:type="dxa"/>
      <w:tblCellMar>
        <w:top w:w="0" w:type="dxa"/>
        <w:left w:w="108" w:type="dxa"/>
        <w:bottom w:w="0" w:type="dxa"/>
        <w:right w:w="108" w:type="dxa"/>
      </w:tblCellMar>
    </w:tblPr>
  </w:style>
  <w:style w:type="numbering" w:customStyle="1" w:styleId="Bezlisty404">
    <w:name w:val="Bez listy404"/>
    <w:uiPriority w:val="99"/>
  </w:style>
  <w:style w:type="paragraph" w:customStyle="1" w:styleId="Normalny405">
    <w:name w:val="Normalny405"/>
    <w:qFormat/>
    <w:pPr>
      <w:spacing w:after="200"/>
    </w:pPr>
  </w:style>
  <w:style w:type="character" w:customStyle="1" w:styleId="Domylnaczcionkaakapitu405">
    <w:name w:val="Domyślna czcionka akapitu405"/>
    <w:uiPriority w:val="1"/>
  </w:style>
  <w:style w:type="table" w:customStyle="1" w:styleId="Standardowy405">
    <w:name w:val="Standardowy405"/>
    <w:uiPriority w:val="99"/>
    <w:tblPr>
      <w:tblInd w:w="0" w:type="dxa"/>
      <w:tblCellMar>
        <w:top w:w="0" w:type="dxa"/>
        <w:left w:w="108" w:type="dxa"/>
        <w:bottom w:w="0" w:type="dxa"/>
        <w:right w:w="108" w:type="dxa"/>
      </w:tblCellMar>
    </w:tblPr>
  </w:style>
  <w:style w:type="numbering" w:customStyle="1" w:styleId="Bezlisty405">
    <w:name w:val="Bez listy405"/>
    <w:uiPriority w:val="99"/>
  </w:style>
  <w:style w:type="paragraph" w:customStyle="1" w:styleId="Normalny406">
    <w:name w:val="Normalny406"/>
    <w:qFormat/>
    <w:pPr>
      <w:spacing w:after="200"/>
    </w:pPr>
  </w:style>
  <w:style w:type="character" w:customStyle="1" w:styleId="Domylnaczcionkaakapitu406">
    <w:name w:val="Domyślna czcionka akapitu406"/>
    <w:uiPriority w:val="1"/>
  </w:style>
  <w:style w:type="table" w:customStyle="1" w:styleId="Standardowy406">
    <w:name w:val="Standardowy406"/>
    <w:uiPriority w:val="99"/>
    <w:tblPr>
      <w:tblInd w:w="0" w:type="dxa"/>
      <w:tblCellMar>
        <w:top w:w="0" w:type="dxa"/>
        <w:left w:w="108" w:type="dxa"/>
        <w:bottom w:w="0" w:type="dxa"/>
        <w:right w:w="108" w:type="dxa"/>
      </w:tblCellMar>
    </w:tblPr>
  </w:style>
  <w:style w:type="numbering" w:customStyle="1" w:styleId="Bezlisty406">
    <w:name w:val="Bez listy406"/>
    <w:uiPriority w:val="99"/>
  </w:style>
  <w:style w:type="paragraph" w:customStyle="1" w:styleId="Normalny407">
    <w:name w:val="Normalny407"/>
    <w:qFormat/>
    <w:pPr>
      <w:spacing w:after="200"/>
    </w:pPr>
  </w:style>
  <w:style w:type="character" w:customStyle="1" w:styleId="Domylnaczcionkaakapitu407">
    <w:name w:val="Domyślna czcionka akapitu407"/>
    <w:uiPriority w:val="1"/>
  </w:style>
  <w:style w:type="table" w:customStyle="1" w:styleId="Standardowy407">
    <w:name w:val="Standardowy407"/>
    <w:uiPriority w:val="99"/>
    <w:tblPr>
      <w:tblInd w:w="0" w:type="dxa"/>
      <w:tblCellMar>
        <w:top w:w="0" w:type="dxa"/>
        <w:left w:w="108" w:type="dxa"/>
        <w:bottom w:w="0" w:type="dxa"/>
        <w:right w:w="108" w:type="dxa"/>
      </w:tblCellMar>
    </w:tblPr>
  </w:style>
  <w:style w:type="numbering" w:customStyle="1" w:styleId="Bezlisty407">
    <w:name w:val="Bez listy407"/>
    <w:uiPriority w:val="99"/>
  </w:style>
  <w:style w:type="paragraph" w:customStyle="1" w:styleId="Normalny408">
    <w:name w:val="Normalny408"/>
    <w:qFormat/>
    <w:pPr>
      <w:spacing w:after="200"/>
    </w:pPr>
  </w:style>
  <w:style w:type="character" w:customStyle="1" w:styleId="Domylnaczcionkaakapitu408">
    <w:name w:val="Domyślna czcionka akapitu408"/>
    <w:uiPriority w:val="1"/>
  </w:style>
  <w:style w:type="table" w:customStyle="1" w:styleId="Standardowy408">
    <w:name w:val="Standardowy408"/>
    <w:uiPriority w:val="99"/>
    <w:tblPr>
      <w:tblInd w:w="0" w:type="dxa"/>
      <w:tblCellMar>
        <w:top w:w="0" w:type="dxa"/>
        <w:left w:w="108" w:type="dxa"/>
        <w:bottom w:w="0" w:type="dxa"/>
        <w:right w:w="108" w:type="dxa"/>
      </w:tblCellMar>
    </w:tblPr>
  </w:style>
  <w:style w:type="numbering" w:customStyle="1" w:styleId="Bezlisty408">
    <w:name w:val="Bez listy408"/>
    <w:uiPriority w:val="99"/>
  </w:style>
  <w:style w:type="paragraph" w:customStyle="1" w:styleId="Normalny409">
    <w:name w:val="Normalny409"/>
    <w:qFormat/>
    <w:pPr>
      <w:spacing w:after="200"/>
    </w:pPr>
  </w:style>
  <w:style w:type="character" w:customStyle="1" w:styleId="Domylnaczcionkaakapitu409">
    <w:name w:val="Domyślna czcionka akapitu409"/>
    <w:uiPriority w:val="1"/>
  </w:style>
  <w:style w:type="table" w:customStyle="1" w:styleId="Standardowy409">
    <w:name w:val="Standardowy409"/>
    <w:uiPriority w:val="99"/>
    <w:tblPr>
      <w:tblInd w:w="0" w:type="dxa"/>
      <w:tblCellMar>
        <w:top w:w="0" w:type="dxa"/>
        <w:left w:w="108" w:type="dxa"/>
        <w:bottom w:w="0" w:type="dxa"/>
        <w:right w:w="108" w:type="dxa"/>
      </w:tblCellMar>
    </w:tblPr>
  </w:style>
  <w:style w:type="numbering" w:customStyle="1" w:styleId="Bezlisty409">
    <w:name w:val="Bez listy409"/>
    <w:uiPriority w:val="99"/>
  </w:style>
  <w:style w:type="paragraph" w:customStyle="1" w:styleId="Normalny410">
    <w:name w:val="Normalny410"/>
    <w:qFormat/>
    <w:pPr>
      <w:spacing w:after="200"/>
    </w:pPr>
  </w:style>
  <w:style w:type="character" w:customStyle="1" w:styleId="Domylnaczcionkaakapitu410">
    <w:name w:val="Domyślna czcionka akapitu410"/>
    <w:uiPriority w:val="1"/>
  </w:style>
  <w:style w:type="table" w:customStyle="1" w:styleId="Standardowy410">
    <w:name w:val="Standardowy410"/>
    <w:uiPriority w:val="99"/>
    <w:tblPr>
      <w:tblInd w:w="0" w:type="dxa"/>
      <w:tblCellMar>
        <w:top w:w="0" w:type="dxa"/>
        <w:left w:w="108" w:type="dxa"/>
        <w:bottom w:w="0" w:type="dxa"/>
        <w:right w:w="108" w:type="dxa"/>
      </w:tblCellMar>
    </w:tblPr>
  </w:style>
  <w:style w:type="numbering" w:customStyle="1" w:styleId="Bezlisty410">
    <w:name w:val="Bez listy410"/>
    <w:uiPriority w:val="99"/>
  </w:style>
  <w:style w:type="paragraph" w:customStyle="1" w:styleId="Normalny411">
    <w:name w:val="Normalny411"/>
    <w:qFormat/>
    <w:pPr>
      <w:spacing w:after="200"/>
    </w:pPr>
  </w:style>
  <w:style w:type="character" w:customStyle="1" w:styleId="Domylnaczcionkaakapitu411">
    <w:name w:val="Domyślna czcionka akapitu411"/>
    <w:uiPriority w:val="1"/>
  </w:style>
  <w:style w:type="table" w:customStyle="1" w:styleId="Standardowy411">
    <w:name w:val="Standardowy411"/>
    <w:uiPriority w:val="99"/>
    <w:tblPr>
      <w:tblInd w:w="0" w:type="dxa"/>
      <w:tblCellMar>
        <w:top w:w="0" w:type="dxa"/>
        <w:left w:w="108" w:type="dxa"/>
        <w:bottom w:w="0" w:type="dxa"/>
        <w:right w:w="108" w:type="dxa"/>
      </w:tblCellMar>
    </w:tblPr>
  </w:style>
  <w:style w:type="numbering" w:customStyle="1" w:styleId="Bezlisty411">
    <w:name w:val="Bez listy411"/>
    <w:uiPriority w:val="99"/>
  </w:style>
  <w:style w:type="paragraph" w:customStyle="1" w:styleId="Normalny412">
    <w:name w:val="Normalny412"/>
    <w:qFormat/>
    <w:pPr>
      <w:spacing w:after="200"/>
    </w:pPr>
  </w:style>
  <w:style w:type="character" w:customStyle="1" w:styleId="Domylnaczcionkaakapitu412">
    <w:name w:val="Domyślna czcionka akapitu412"/>
    <w:uiPriority w:val="1"/>
  </w:style>
  <w:style w:type="table" w:customStyle="1" w:styleId="Standardowy412">
    <w:name w:val="Standardowy412"/>
    <w:uiPriority w:val="99"/>
    <w:tblPr>
      <w:tblInd w:w="0" w:type="dxa"/>
      <w:tblCellMar>
        <w:top w:w="0" w:type="dxa"/>
        <w:left w:w="108" w:type="dxa"/>
        <w:bottom w:w="0" w:type="dxa"/>
        <w:right w:w="108" w:type="dxa"/>
      </w:tblCellMar>
    </w:tblPr>
  </w:style>
  <w:style w:type="numbering" w:customStyle="1" w:styleId="Bezlisty412">
    <w:name w:val="Bez listy412"/>
    <w:uiPriority w:val="99"/>
  </w:style>
  <w:style w:type="paragraph" w:customStyle="1" w:styleId="Normalny413">
    <w:name w:val="Normalny413"/>
    <w:qFormat/>
    <w:pPr>
      <w:spacing w:after="200"/>
    </w:pPr>
  </w:style>
  <w:style w:type="character" w:customStyle="1" w:styleId="Domylnaczcionkaakapitu413">
    <w:name w:val="Domyślna czcionka akapitu413"/>
    <w:uiPriority w:val="1"/>
  </w:style>
  <w:style w:type="table" w:customStyle="1" w:styleId="Standardowy413">
    <w:name w:val="Standardowy413"/>
    <w:uiPriority w:val="99"/>
    <w:tblPr>
      <w:tblInd w:w="0" w:type="dxa"/>
      <w:tblCellMar>
        <w:top w:w="0" w:type="dxa"/>
        <w:left w:w="108" w:type="dxa"/>
        <w:bottom w:w="0" w:type="dxa"/>
        <w:right w:w="108" w:type="dxa"/>
      </w:tblCellMar>
    </w:tblPr>
  </w:style>
  <w:style w:type="numbering" w:customStyle="1" w:styleId="Bezlisty413">
    <w:name w:val="Bez listy413"/>
    <w:uiPriority w:val="99"/>
  </w:style>
  <w:style w:type="paragraph" w:customStyle="1" w:styleId="Normalny414">
    <w:name w:val="Normalny414"/>
    <w:qFormat/>
    <w:pPr>
      <w:spacing w:after="200"/>
    </w:pPr>
  </w:style>
  <w:style w:type="character" w:customStyle="1" w:styleId="Domylnaczcionkaakapitu414">
    <w:name w:val="Domyślna czcionka akapitu414"/>
    <w:uiPriority w:val="1"/>
  </w:style>
  <w:style w:type="table" w:customStyle="1" w:styleId="Standardowy414">
    <w:name w:val="Standardowy414"/>
    <w:uiPriority w:val="99"/>
    <w:tblPr>
      <w:tblInd w:w="0" w:type="dxa"/>
      <w:tblCellMar>
        <w:top w:w="0" w:type="dxa"/>
        <w:left w:w="108" w:type="dxa"/>
        <w:bottom w:w="0" w:type="dxa"/>
        <w:right w:w="108" w:type="dxa"/>
      </w:tblCellMar>
    </w:tblPr>
  </w:style>
  <w:style w:type="numbering" w:customStyle="1" w:styleId="Bezlisty414">
    <w:name w:val="Bez listy414"/>
    <w:uiPriority w:val="99"/>
  </w:style>
  <w:style w:type="paragraph" w:customStyle="1" w:styleId="Normalny415">
    <w:name w:val="Normalny415"/>
    <w:qFormat/>
    <w:pPr>
      <w:spacing w:after="200"/>
    </w:pPr>
  </w:style>
  <w:style w:type="character" w:customStyle="1" w:styleId="Domylnaczcionkaakapitu415">
    <w:name w:val="Domyślna czcionka akapitu415"/>
    <w:uiPriority w:val="1"/>
  </w:style>
  <w:style w:type="table" w:customStyle="1" w:styleId="Standardowy415">
    <w:name w:val="Standardowy415"/>
    <w:uiPriority w:val="99"/>
    <w:tblPr>
      <w:tblInd w:w="0" w:type="dxa"/>
      <w:tblCellMar>
        <w:top w:w="0" w:type="dxa"/>
        <w:left w:w="108" w:type="dxa"/>
        <w:bottom w:w="0" w:type="dxa"/>
        <w:right w:w="108" w:type="dxa"/>
      </w:tblCellMar>
    </w:tblPr>
  </w:style>
  <w:style w:type="numbering" w:customStyle="1" w:styleId="Bezlisty415">
    <w:name w:val="Bez listy415"/>
    <w:uiPriority w:val="99"/>
  </w:style>
  <w:style w:type="paragraph" w:customStyle="1" w:styleId="Normalny416">
    <w:name w:val="Normalny416"/>
    <w:qFormat/>
    <w:pPr>
      <w:spacing w:after="200"/>
    </w:pPr>
  </w:style>
  <w:style w:type="character" w:customStyle="1" w:styleId="Domylnaczcionkaakapitu416">
    <w:name w:val="Domyślna czcionka akapitu416"/>
    <w:uiPriority w:val="1"/>
  </w:style>
  <w:style w:type="table" w:customStyle="1" w:styleId="Standardowy416">
    <w:name w:val="Standardowy416"/>
    <w:uiPriority w:val="99"/>
    <w:tblPr>
      <w:tblInd w:w="0" w:type="dxa"/>
      <w:tblCellMar>
        <w:top w:w="0" w:type="dxa"/>
        <w:left w:w="108" w:type="dxa"/>
        <w:bottom w:w="0" w:type="dxa"/>
        <w:right w:w="108" w:type="dxa"/>
      </w:tblCellMar>
    </w:tblPr>
  </w:style>
  <w:style w:type="numbering" w:customStyle="1" w:styleId="Bezlisty416">
    <w:name w:val="Bez listy416"/>
    <w:uiPriority w:val="99"/>
  </w:style>
  <w:style w:type="paragraph" w:customStyle="1" w:styleId="Normalny417">
    <w:name w:val="Normalny417"/>
    <w:qFormat/>
    <w:pPr>
      <w:spacing w:after="200"/>
    </w:pPr>
  </w:style>
  <w:style w:type="character" w:customStyle="1" w:styleId="Domylnaczcionkaakapitu417">
    <w:name w:val="Domyślna czcionka akapitu417"/>
    <w:uiPriority w:val="1"/>
  </w:style>
  <w:style w:type="table" w:customStyle="1" w:styleId="Standardowy417">
    <w:name w:val="Standardowy417"/>
    <w:uiPriority w:val="99"/>
    <w:tblPr>
      <w:tblInd w:w="0" w:type="dxa"/>
      <w:tblCellMar>
        <w:top w:w="0" w:type="dxa"/>
        <w:left w:w="108" w:type="dxa"/>
        <w:bottom w:w="0" w:type="dxa"/>
        <w:right w:w="108" w:type="dxa"/>
      </w:tblCellMar>
    </w:tblPr>
  </w:style>
  <w:style w:type="numbering" w:customStyle="1" w:styleId="Bezlisty417">
    <w:name w:val="Bez listy417"/>
    <w:uiPriority w:val="99"/>
  </w:style>
  <w:style w:type="paragraph" w:customStyle="1" w:styleId="Normalny418">
    <w:name w:val="Normalny418"/>
    <w:qFormat/>
    <w:pPr>
      <w:spacing w:after="200"/>
    </w:pPr>
  </w:style>
  <w:style w:type="character" w:customStyle="1" w:styleId="Domylnaczcionkaakapitu418">
    <w:name w:val="Domyślna czcionka akapitu418"/>
    <w:uiPriority w:val="1"/>
  </w:style>
  <w:style w:type="table" w:customStyle="1" w:styleId="Standardowy418">
    <w:name w:val="Standardowy418"/>
    <w:uiPriority w:val="99"/>
    <w:tblPr>
      <w:tblInd w:w="0" w:type="dxa"/>
      <w:tblCellMar>
        <w:top w:w="0" w:type="dxa"/>
        <w:left w:w="108" w:type="dxa"/>
        <w:bottom w:w="0" w:type="dxa"/>
        <w:right w:w="108" w:type="dxa"/>
      </w:tblCellMar>
    </w:tblPr>
  </w:style>
  <w:style w:type="numbering" w:customStyle="1" w:styleId="Bezlisty418">
    <w:name w:val="Bez listy418"/>
    <w:uiPriority w:val="99"/>
  </w:style>
  <w:style w:type="paragraph" w:customStyle="1" w:styleId="Normalny419">
    <w:name w:val="Normalny419"/>
    <w:qFormat/>
    <w:pPr>
      <w:spacing w:after="200"/>
    </w:pPr>
  </w:style>
  <w:style w:type="character" w:customStyle="1" w:styleId="Domylnaczcionkaakapitu419">
    <w:name w:val="Domyślna czcionka akapitu419"/>
    <w:uiPriority w:val="1"/>
  </w:style>
  <w:style w:type="table" w:customStyle="1" w:styleId="Standardowy419">
    <w:name w:val="Standardowy419"/>
    <w:uiPriority w:val="99"/>
    <w:tblPr>
      <w:tblInd w:w="0" w:type="dxa"/>
      <w:tblCellMar>
        <w:top w:w="0" w:type="dxa"/>
        <w:left w:w="108" w:type="dxa"/>
        <w:bottom w:w="0" w:type="dxa"/>
        <w:right w:w="108" w:type="dxa"/>
      </w:tblCellMar>
    </w:tblPr>
  </w:style>
  <w:style w:type="numbering" w:customStyle="1" w:styleId="Bezlisty419">
    <w:name w:val="Bez listy419"/>
    <w:uiPriority w:val="99"/>
  </w:style>
  <w:style w:type="paragraph" w:customStyle="1" w:styleId="Normalny420">
    <w:name w:val="Normalny420"/>
    <w:qFormat/>
    <w:pPr>
      <w:spacing w:after="200"/>
    </w:pPr>
  </w:style>
  <w:style w:type="character" w:customStyle="1" w:styleId="Domylnaczcionkaakapitu420">
    <w:name w:val="Domyślna czcionka akapitu420"/>
    <w:uiPriority w:val="1"/>
  </w:style>
  <w:style w:type="table" w:customStyle="1" w:styleId="Standardowy420">
    <w:name w:val="Standardowy420"/>
    <w:uiPriority w:val="99"/>
    <w:tblPr>
      <w:tblInd w:w="0" w:type="dxa"/>
      <w:tblCellMar>
        <w:top w:w="0" w:type="dxa"/>
        <w:left w:w="108" w:type="dxa"/>
        <w:bottom w:w="0" w:type="dxa"/>
        <w:right w:w="108" w:type="dxa"/>
      </w:tblCellMar>
    </w:tblPr>
  </w:style>
  <w:style w:type="numbering" w:customStyle="1" w:styleId="Bezlisty420">
    <w:name w:val="Bez listy420"/>
    <w:uiPriority w:val="99"/>
  </w:style>
  <w:style w:type="paragraph" w:customStyle="1" w:styleId="Normalny421">
    <w:name w:val="Normalny421"/>
    <w:qFormat/>
    <w:pPr>
      <w:spacing w:after="200"/>
    </w:pPr>
  </w:style>
  <w:style w:type="character" w:customStyle="1" w:styleId="Domylnaczcionkaakapitu421">
    <w:name w:val="Domyślna czcionka akapitu421"/>
    <w:uiPriority w:val="1"/>
  </w:style>
  <w:style w:type="table" w:customStyle="1" w:styleId="Standardowy421">
    <w:name w:val="Standardowy421"/>
    <w:uiPriority w:val="99"/>
    <w:tblPr>
      <w:tblInd w:w="0" w:type="dxa"/>
      <w:tblCellMar>
        <w:top w:w="0" w:type="dxa"/>
        <w:left w:w="108" w:type="dxa"/>
        <w:bottom w:w="0" w:type="dxa"/>
        <w:right w:w="108" w:type="dxa"/>
      </w:tblCellMar>
    </w:tblPr>
  </w:style>
  <w:style w:type="numbering" w:customStyle="1" w:styleId="Bezlisty421">
    <w:name w:val="Bez listy421"/>
    <w:uiPriority w:val="99"/>
  </w:style>
  <w:style w:type="paragraph" w:customStyle="1" w:styleId="Normalny422">
    <w:name w:val="Normalny422"/>
    <w:qFormat/>
    <w:pPr>
      <w:spacing w:after="200"/>
    </w:pPr>
  </w:style>
  <w:style w:type="character" w:customStyle="1" w:styleId="Domylnaczcionkaakapitu422">
    <w:name w:val="Domyślna czcionka akapitu422"/>
    <w:uiPriority w:val="1"/>
  </w:style>
  <w:style w:type="table" w:customStyle="1" w:styleId="Standardowy422">
    <w:name w:val="Standardowy422"/>
    <w:uiPriority w:val="99"/>
    <w:tblPr>
      <w:tblInd w:w="0" w:type="dxa"/>
      <w:tblCellMar>
        <w:top w:w="0" w:type="dxa"/>
        <w:left w:w="108" w:type="dxa"/>
        <w:bottom w:w="0" w:type="dxa"/>
        <w:right w:w="108" w:type="dxa"/>
      </w:tblCellMar>
    </w:tblPr>
  </w:style>
  <w:style w:type="numbering" w:customStyle="1" w:styleId="Bezlisty422">
    <w:name w:val="Bez listy422"/>
    <w:uiPriority w:val="99"/>
  </w:style>
  <w:style w:type="paragraph" w:customStyle="1" w:styleId="Normalny423">
    <w:name w:val="Normalny423"/>
    <w:qFormat/>
    <w:pPr>
      <w:spacing w:after="200"/>
    </w:pPr>
  </w:style>
  <w:style w:type="character" w:customStyle="1" w:styleId="Domylnaczcionkaakapitu423">
    <w:name w:val="Domyślna czcionka akapitu423"/>
    <w:uiPriority w:val="1"/>
  </w:style>
  <w:style w:type="table" w:customStyle="1" w:styleId="Standardowy423">
    <w:name w:val="Standardowy423"/>
    <w:uiPriority w:val="99"/>
    <w:tblPr>
      <w:tblInd w:w="0" w:type="dxa"/>
      <w:tblCellMar>
        <w:top w:w="0" w:type="dxa"/>
        <w:left w:w="108" w:type="dxa"/>
        <w:bottom w:w="0" w:type="dxa"/>
        <w:right w:w="108" w:type="dxa"/>
      </w:tblCellMar>
    </w:tblPr>
  </w:style>
  <w:style w:type="numbering" w:customStyle="1" w:styleId="Bezlisty423">
    <w:name w:val="Bez listy423"/>
    <w:uiPriority w:val="99"/>
  </w:style>
  <w:style w:type="paragraph" w:customStyle="1" w:styleId="Normalny424">
    <w:name w:val="Normalny424"/>
    <w:qFormat/>
    <w:pPr>
      <w:spacing w:after="200"/>
    </w:pPr>
  </w:style>
  <w:style w:type="character" w:customStyle="1" w:styleId="Domylnaczcionkaakapitu424">
    <w:name w:val="Domyślna czcionka akapitu424"/>
    <w:uiPriority w:val="1"/>
  </w:style>
  <w:style w:type="table" w:customStyle="1" w:styleId="Standardowy424">
    <w:name w:val="Standardowy424"/>
    <w:uiPriority w:val="99"/>
    <w:tblPr>
      <w:tblInd w:w="0" w:type="dxa"/>
      <w:tblCellMar>
        <w:top w:w="0" w:type="dxa"/>
        <w:left w:w="108" w:type="dxa"/>
        <w:bottom w:w="0" w:type="dxa"/>
        <w:right w:w="108" w:type="dxa"/>
      </w:tblCellMar>
    </w:tblPr>
  </w:style>
  <w:style w:type="numbering" w:customStyle="1" w:styleId="Bezlisty424">
    <w:name w:val="Bez listy424"/>
    <w:uiPriority w:val="99"/>
  </w:style>
  <w:style w:type="paragraph" w:customStyle="1" w:styleId="Normalny425">
    <w:name w:val="Normalny425"/>
    <w:qFormat/>
    <w:pPr>
      <w:spacing w:after="200"/>
    </w:pPr>
  </w:style>
  <w:style w:type="character" w:customStyle="1" w:styleId="Domylnaczcionkaakapitu425">
    <w:name w:val="Domyślna czcionka akapitu425"/>
    <w:uiPriority w:val="1"/>
  </w:style>
  <w:style w:type="table" w:customStyle="1" w:styleId="Standardowy425">
    <w:name w:val="Standardowy425"/>
    <w:uiPriority w:val="99"/>
    <w:tblPr>
      <w:tblInd w:w="0" w:type="dxa"/>
      <w:tblCellMar>
        <w:top w:w="0" w:type="dxa"/>
        <w:left w:w="108" w:type="dxa"/>
        <w:bottom w:w="0" w:type="dxa"/>
        <w:right w:w="108" w:type="dxa"/>
      </w:tblCellMar>
    </w:tblPr>
  </w:style>
  <w:style w:type="numbering" w:customStyle="1" w:styleId="Bezlisty425">
    <w:name w:val="Bez listy425"/>
    <w:uiPriority w:val="99"/>
  </w:style>
  <w:style w:type="paragraph" w:customStyle="1" w:styleId="Normalny426">
    <w:name w:val="Normalny426"/>
    <w:qFormat/>
    <w:pPr>
      <w:spacing w:after="200"/>
    </w:pPr>
  </w:style>
  <w:style w:type="character" w:customStyle="1" w:styleId="Domylnaczcionkaakapitu426">
    <w:name w:val="Domyślna czcionka akapitu426"/>
    <w:uiPriority w:val="1"/>
  </w:style>
  <w:style w:type="table" w:customStyle="1" w:styleId="Standardowy426">
    <w:name w:val="Standardowy426"/>
    <w:uiPriority w:val="99"/>
    <w:tblPr>
      <w:tblInd w:w="0" w:type="dxa"/>
      <w:tblCellMar>
        <w:top w:w="0" w:type="dxa"/>
        <w:left w:w="108" w:type="dxa"/>
        <w:bottom w:w="0" w:type="dxa"/>
        <w:right w:w="108" w:type="dxa"/>
      </w:tblCellMar>
    </w:tblPr>
  </w:style>
  <w:style w:type="numbering" w:customStyle="1" w:styleId="Bezlisty426">
    <w:name w:val="Bez listy426"/>
    <w:uiPriority w:val="99"/>
  </w:style>
  <w:style w:type="paragraph" w:customStyle="1" w:styleId="Normalny427">
    <w:name w:val="Normalny427"/>
    <w:qFormat/>
    <w:pPr>
      <w:spacing w:after="200"/>
    </w:pPr>
  </w:style>
  <w:style w:type="character" w:customStyle="1" w:styleId="Domylnaczcionkaakapitu427">
    <w:name w:val="Domyślna czcionka akapitu427"/>
    <w:uiPriority w:val="1"/>
  </w:style>
  <w:style w:type="table" w:customStyle="1" w:styleId="Standardowy427">
    <w:name w:val="Standardowy427"/>
    <w:uiPriority w:val="99"/>
    <w:tblPr>
      <w:tblInd w:w="0" w:type="dxa"/>
      <w:tblCellMar>
        <w:top w:w="0" w:type="dxa"/>
        <w:left w:w="108" w:type="dxa"/>
        <w:bottom w:w="0" w:type="dxa"/>
        <w:right w:w="108" w:type="dxa"/>
      </w:tblCellMar>
    </w:tblPr>
  </w:style>
  <w:style w:type="numbering" w:customStyle="1" w:styleId="Bezlisty427">
    <w:name w:val="Bez listy427"/>
    <w:uiPriority w:val="99"/>
  </w:style>
  <w:style w:type="paragraph" w:customStyle="1" w:styleId="Normalny428">
    <w:name w:val="Normalny428"/>
    <w:qFormat/>
    <w:pPr>
      <w:spacing w:after="200"/>
    </w:pPr>
  </w:style>
  <w:style w:type="character" w:customStyle="1" w:styleId="Domylnaczcionkaakapitu428">
    <w:name w:val="Domyślna czcionka akapitu428"/>
    <w:uiPriority w:val="1"/>
  </w:style>
  <w:style w:type="table" w:customStyle="1" w:styleId="Standardowy428">
    <w:name w:val="Standardowy428"/>
    <w:uiPriority w:val="99"/>
    <w:tblPr>
      <w:tblInd w:w="0" w:type="dxa"/>
      <w:tblCellMar>
        <w:top w:w="0" w:type="dxa"/>
        <w:left w:w="108" w:type="dxa"/>
        <w:bottom w:w="0" w:type="dxa"/>
        <w:right w:w="108" w:type="dxa"/>
      </w:tblCellMar>
    </w:tblPr>
  </w:style>
  <w:style w:type="numbering" w:customStyle="1" w:styleId="Bezlisty428">
    <w:name w:val="Bez listy428"/>
    <w:uiPriority w:val="99"/>
  </w:style>
  <w:style w:type="paragraph" w:customStyle="1" w:styleId="Normalny429">
    <w:name w:val="Normalny429"/>
    <w:qFormat/>
    <w:pPr>
      <w:spacing w:after="200"/>
    </w:pPr>
  </w:style>
  <w:style w:type="character" w:customStyle="1" w:styleId="Domylnaczcionkaakapitu429">
    <w:name w:val="Domyślna czcionka akapitu429"/>
    <w:uiPriority w:val="1"/>
  </w:style>
  <w:style w:type="table" w:customStyle="1" w:styleId="Standardowy429">
    <w:name w:val="Standardowy429"/>
    <w:uiPriority w:val="99"/>
    <w:tblPr>
      <w:tblInd w:w="0" w:type="dxa"/>
      <w:tblCellMar>
        <w:top w:w="0" w:type="dxa"/>
        <w:left w:w="108" w:type="dxa"/>
        <w:bottom w:w="0" w:type="dxa"/>
        <w:right w:w="108" w:type="dxa"/>
      </w:tblCellMar>
    </w:tblPr>
  </w:style>
  <w:style w:type="numbering" w:customStyle="1" w:styleId="Bezlisty429">
    <w:name w:val="Bez listy429"/>
    <w:uiPriority w:val="99"/>
  </w:style>
  <w:style w:type="paragraph" w:customStyle="1" w:styleId="Normalny430">
    <w:name w:val="Normalny430"/>
    <w:qFormat/>
    <w:pPr>
      <w:spacing w:after="200"/>
    </w:pPr>
  </w:style>
  <w:style w:type="character" w:customStyle="1" w:styleId="Domylnaczcionkaakapitu430">
    <w:name w:val="Domyślna czcionka akapitu430"/>
    <w:uiPriority w:val="1"/>
  </w:style>
  <w:style w:type="table" w:customStyle="1" w:styleId="Standardowy430">
    <w:name w:val="Standardowy430"/>
    <w:uiPriority w:val="99"/>
    <w:tblPr>
      <w:tblInd w:w="0" w:type="dxa"/>
      <w:tblCellMar>
        <w:top w:w="0" w:type="dxa"/>
        <w:left w:w="108" w:type="dxa"/>
        <w:bottom w:w="0" w:type="dxa"/>
        <w:right w:w="108" w:type="dxa"/>
      </w:tblCellMar>
    </w:tblPr>
  </w:style>
  <w:style w:type="numbering" w:customStyle="1" w:styleId="Bezlisty430">
    <w:name w:val="Bez listy430"/>
    <w:uiPriority w:val="99"/>
  </w:style>
  <w:style w:type="paragraph" w:customStyle="1" w:styleId="Normalny431">
    <w:name w:val="Normalny431"/>
    <w:qFormat/>
    <w:pPr>
      <w:spacing w:after="200"/>
    </w:pPr>
  </w:style>
  <w:style w:type="character" w:customStyle="1" w:styleId="Domylnaczcionkaakapitu431">
    <w:name w:val="Domyślna czcionka akapitu431"/>
    <w:uiPriority w:val="1"/>
  </w:style>
  <w:style w:type="table" w:customStyle="1" w:styleId="Standardowy431">
    <w:name w:val="Standardowy431"/>
    <w:uiPriority w:val="99"/>
    <w:tblPr>
      <w:tblInd w:w="0" w:type="dxa"/>
      <w:tblCellMar>
        <w:top w:w="0" w:type="dxa"/>
        <w:left w:w="108" w:type="dxa"/>
        <w:bottom w:w="0" w:type="dxa"/>
        <w:right w:w="108" w:type="dxa"/>
      </w:tblCellMar>
    </w:tblPr>
  </w:style>
  <w:style w:type="numbering" w:customStyle="1" w:styleId="Bezlisty431">
    <w:name w:val="Bez listy431"/>
    <w:uiPriority w:val="99"/>
  </w:style>
  <w:style w:type="paragraph" w:customStyle="1" w:styleId="Normalny432">
    <w:name w:val="Normalny432"/>
    <w:qFormat/>
    <w:pPr>
      <w:spacing w:after="200"/>
    </w:pPr>
  </w:style>
  <w:style w:type="character" w:customStyle="1" w:styleId="Domylnaczcionkaakapitu432">
    <w:name w:val="Domyślna czcionka akapitu432"/>
    <w:uiPriority w:val="1"/>
  </w:style>
  <w:style w:type="table" w:customStyle="1" w:styleId="Standardowy432">
    <w:name w:val="Standardowy432"/>
    <w:uiPriority w:val="99"/>
    <w:tblPr>
      <w:tblInd w:w="0" w:type="dxa"/>
      <w:tblCellMar>
        <w:top w:w="0" w:type="dxa"/>
        <w:left w:w="108" w:type="dxa"/>
        <w:bottom w:w="0" w:type="dxa"/>
        <w:right w:w="108" w:type="dxa"/>
      </w:tblCellMar>
    </w:tblPr>
  </w:style>
  <w:style w:type="numbering" w:customStyle="1" w:styleId="Bezlisty432">
    <w:name w:val="Bez listy432"/>
    <w:uiPriority w:val="99"/>
  </w:style>
  <w:style w:type="paragraph" w:customStyle="1" w:styleId="Normalny433">
    <w:name w:val="Normalny433"/>
    <w:qFormat/>
    <w:pPr>
      <w:spacing w:after="200"/>
    </w:pPr>
  </w:style>
  <w:style w:type="character" w:customStyle="1" w:styleId="Domylnaczcionkaakapitu433">
    <w:name w:val="Domyślna czcionka akapitu433"/>
    <w:uiPriority w:val="1"/>
  </w:style>
  <w:style w:type="table" w:customStyle="1" w:styleId="Standardowy433">
    <w:name w:val="Standardowy433"/>
    <w:uiPriority w:val="99"/>
    <w:tblPr>
      <w:tblInd w:w="0" w:type="dxa"/>
      <w:tblCellMar>
        <w:top w:w="0" w:type="dxa"/>
        <w:left w:w="108" w:type="dxa"/>
        <w:bottom w:w="0" w:type="dxa"/>
        <w:right w:w="108" w:type="dxa"/>
      </w:tblCellMar>
    </w:tblPr>
  </w:style>
  <w:style w:type="numbering" w:customStyle="1" w:styleId="Bezlisty433">
    <w:name w:val="Bez listy433"/>
    <w:uiPriority w:val="99"/>
  </w:style>
  <w:style w:type="paragraph" w:customStyle="1" w:styleId="Normalny434">
    <w:name w:val="Normalny434"/>
    <w:qFormat/>
    <w:pPr>
      <w:spacing w:after="200"/>
    </w:pPr>
  </w:style>
  <w:style w:type="character" w:customStyle="1" w:styleId="Domylnaczcionkaakapitu434">
    <w:name w:val="Domyślna czcionka akapitu434"/>
    <w:uiPriority w:val="1"/>
  </w:style>
  <w:style w:type="table" w:customStyle="1" w:styleId="Standardowy434">
    <w:name w:val="Standardowy434"/>
    <w:uiPriority w:val="99"/>
    <w:tblPr>
      <w:tblInd w:w="0" w:type="dxa"/>
      <w:tblCellMar>
        <w:top w:w="0" w:type="dxa"/>
        <w:left w:w="108" w:type="dxa"/>
        <w:bottom w:w="0" w:type="dxa"/>
        <w:right w:w="108" w:type="dxa"/>
      </w:tblCellMar>
    </w:tblPr>
  </w:style>
  <w:style w:type="numbering" w:customStyle="1" w:styleId="Bezlisty434">
    <w:name w:val="Bez listy434"/>
    <w:uiPriority w:val="99"/>
  </w:style>
  <w:style w:type="paragraph" w:customStyle="1" w:styleId="Normalny435">
    <w:name w:val="Normalny435"/>
    <w:qFormat/>
    <w:pPr>
      <w:spacing w:after="200"/>
    </w:pPr>
  </w:style>
  <w:style w:type="character" w:customStyle="1" w:styleId="Domylnaczcionkaakapitu435">
    <w:name w:val="Domyślna czcionka akapitu435"/>
    <w:uiPriority w:val="1"/>
  </w:style>
  <w:style w:type="table" w:customStyle="1" w:styleId="Standardowy435">
    <w:name w:val="Standardowy435"/>
    <w:uiPriority w:val="99"/>
    <w:tblPr>
      <w:tblInd w:w="0" w:type="dxa"/>
      <w:tblCellMar>
        <w:top w:w="0" w:type="dxa"/>
        <w:left w:w="108" w:type="dxa"/>
        <w:bottom w:w="0" w:type="dxa"/>
        <w:right w:w="108" w:type="dxa"/>
      </w:tblCellMar>
    </w:tblPr>
  </w:style>
  <w:style w:type="numbering" w:customStyle="1" w:styleId="Bezlisty435">
    <w:name w:val="Bez listy435"/>
    <w:uiPriority w:val="99"/>
  </w:style>
  <w:style w:type="paragraph" w:customStyle="1" w:styleId="Normalny436">
    <w:name w:val="Normalny436"/>
    <w:qFormat/>
    <w:pPr>
      <w:spacing w:after="200"/>
    </w:pPr>
  </w:style>
  <w:style w:type="character" w:customStyle="1" w:styleId="Domylnaczcionkaakapitu436">
    <w:name w:val="Domyślna czcionka akapitu436"/>
    <w:uiPriority w:val="1"/>
  </w:style>
  <w:style w:type="table" w:customStyle="1" w:styleId="Standardowy436">
    <w:name w:val="Standardowy436"/>
    <w:uiPriority w:val="99"/>
    <w:tblPr>
      <w:tblInd w:w="0" w:type="dxa"/>
      <w:tblCellMar>
        <w:top w:w="0" w:type="dxa"/>
        <w:left w:w="108" w:type="dxa"/>
        <w:bottom w:w="0" w:type="dxa"/>
        <w:right w:w="108" w:type="dxa"/>
      </w:tblCellMar>
    </w:tblPr>
  </w:style>
  <w:style w:type="numbering" w:customStyle="1" w:styleId="Bezlisty436">
    <w:name w:val="Bez listy436"/>
    <w:uiPriority w:val="99"/>
  </w:style>
  <w:style w:type="paragraph" w:customStyle="1" w:styleId="Normalny437">
    <w:name w:val="Normalny437"/>
    <w:qFormat/>
    <w:pPr>
      <w:spacing w:after="200"/>
    </w:pPr>
  </w:style>
  <w:style w:type="character" w:customStyle="1" w:styleId="Domylnaczcionkaakapitu437">
    <w:name w:val="Domyślna czcionka akapitu437"/>
    <w:uiPriority w:val="1"/>
  </w:style>
  <w:style w:type="table" w:customStyle="1" w:styleId="Standardowy437">
    <w:name w:val="Standardowy437"/>
    <w:uiPriority w:val="99"/>
    <w:tblPr>
      <w:tblInd w:w="0" w:type="dxa"/>
      <w:tblCellMar>
        <w:top w:w="0" w:type="dxa"/>
        <w:left w:w="108" w:type="dxa"/>
        <w:bottom w:w="0" w:type="dxa"/>
        <w:right w:w="108" w:type="dxa"/>
      </w:tblCellMar>
    </w:tblPr>
  </w:style>
  <w:style w:type="numbering" w:customStyle="1" w:styleId="Bezlisty437">
    <w:name w:val="Bez listy437"/>
    <w:uiPriority w:val="99"/>
  </w:style>
  <w:style w:type="paragraph" w:customStyle="1" w:styleId="Normalny438">
    <w:name w:val="Normalny438"/>
    <w:qFormat/>
    <w:pPr>
      <w:spacing w:after="200"/>
    </w:pPr>
  </w:style>
  <w:style w:type="character" w:customStyle="1" w:styleId="Domylnaczcionkaakapitu438">
    <w:name w:val="Domyślna czcionka akapitu438"/>
    <w:uiPriority w:val="1"/>
  </w:style>
  <w:style w:type="table" w:customStyle="1" w:styleId="Standardowy438">
    <w:name w:val="Standardowy438"/>
    <w:uiPriority w:val="99"/>
    <w:tblPr>
      <w:tblInd w:w="0" w:type="dxa"/>
      <w:tblCellMar>
        <w:top w:w="0" w:type="dxa"/>
        <w:left w:w="108" w:type="dxa"/>
        <w:bottom w:w="0" w:type="dxa"/>
        <w:right w:w="108" w:type="dxa"/>
      </w:tblCellMar>
    </w:tblPr>
  </w:style>
  <w:style w:type="numbering" w:customStyle="1" w:styleId="Bezlisty438">
    <w:name w:val="Bez listy438"/>
    <w:uiPriority w:val="99"/>
  </w:style>
  <w:style w:type="paragraph" w:customStyle="1" w:styleId="Normalny439">
    <w:name w:val="Normalny439"/>
    <w:qFormat/>
    <w:pPr>
      <w:spacing w:after="200"/>
    </w:pPr>
  </w:style>
  <w:style w:type="character" w:customStyle="1" w:styleId="Domylnaczcionkaakapitu439">
    <w:name w:val="Domyślna czcionka akapitu439"/>
    <w:uiPriority w:val="1"/>
  </w:style>
  <w:style w:type="table" w:customStyle="1" w:styleId="Standardowy439">
    <w:name w:val="Standardowy439"/>
    <w:uiPriority w:val="99"/>
    <w:tblPr>
      <w:tblInd w:w="0" w:type="dxa"/>
      <w:tblCellMar>
        <w:top w:w="0" w:type="dxa"/>
        <w:left w:w="108" w:type="dxa"/>
        <w:bottom w:w="0" w:type="dxa"/>
        <w:right w:w="108" w:type="dxa"/>
      </w:tblCellMar>
    </w:tblPr>
  </w:style>
  <w:style w:type="numbering" w:customStyle="1" w:styleId="Bezlisty439">
    <w:name w:val="Bez listy439"/>
    <w:uiPriority w:val="99"/>
  </w:style>
  <w:style w:type="paragraph" w:customStyle="1" w:styleId="Normalny440">
    <w:name w:val="Normalny440"/>
    <w:qFormat/>
    <w:pPr>
      <w:spacing w:after="200"/>
    </w:pPr>
  </w:style>
  <w:style w:type="character" w:customStyle="1" w:styleId="Domylnaczcionkaakapitu440">
    <w:name w:val="Domyślna czcionka akapitu440"/>
    <w:uiPriority w:val="1"/>
  </w:style>
  <w:style w:type="table" w:customStyle="1" w:styleId="Standardowy440">
    <w:name w:val="Standardowy440"/>
    <w:uiPriority w:val="99"/>
    <w:tblPr>
      <w:tblInd w:w="0" w:type="dxa"/>
      <w:tblCellMar>
        <w:top w:w="0" w:type="dxa"/>
        <w:left w:w="108" w:type="dxa"/>
        <w:bottom w:w="0" w:type="dxa"/>
        <w:right w:w="108" w:type="dxa"/>
      </w:tblCellMar>
    </w:tblPr>
  </w:style>
  <w:style w:type="numbering" w:customStyle="1" w:styleId="Bezlisty440">
    <w:name w:val="Bez listy440"/>
    <w:uiPriority w:val="99"/>
  </w:style>
  <w:style w:type="paragraph" w:customStyle="1" w:styleId="Normalny441">
    <w:name w:val="Normalny441"/>
    <w:qFormat/>
    <w:pPr>
      <w:spacing w:after="200"/>
    </w:pPr>
  </w:style>
  <w:style w:type="character" w:customStyle="1" w:styleId="Domylnaczcionkaakapitu441">
    <w:name w:val="Domyślna czcionka akapitu441"/>
    <w:uiPriority w:val="1"/>
  </w:style>
  <w:style w:type="table" w:customStyle="1" w:styleId="Standardowy441">
    <w:name w:val="Standardowy441"/>
    <w:uiPriority w:val="99"/>
    <w:tblPr>
      <w:tblInd w:w="0" w:type="dxa"/>
      <w:tblCellMar>
        <w:top w:w="0" w:type="dxa"/>
        <w:left w:w="108" w:type="dxa"/>
        <w:bottom w:w="0" w:type="dxa"/>
        <w:right w:w="108" w:type="dxa"/>
      </w:tblCellMar>
    </w:tblPr>
  </w:style>
  <w:style w:type="numbering" w:customStyle="1" w:styleId="Bezlisty441">
    <w:name w:val="Bez listy441"/>
    <w:uiPriority w:val="99"/>
  </w:style>
  <w:style w:type="paragraph" w:customStyle="1" w:styleId="Normalny442">
    <w:name w:val="Normalny442"/>
    <w:qFormat/>
    <w:pPr>
      <w:spacing w:after="200"/>
    </w:pPr>
  </w:style>
  <w:style w:type="character" w:customStyle="1" w:styleId="Domylnaczcionkaakapitu442">
    <w:name w:val="Domyślna czcionka akapitu442"/>
    <w:uiPriority w:val="1"/>
  </w:style>
  <w:style w:type="table" w:customStyle="1" w:styleId="Standardowy442">
    <w:name w:val="Standardowy442"/>
    <w:uiPriority w:val="99"/>
    <w:tblPr>
      <w:tblInd w:w="0" w:type="dxa"/>
      <w:tblCellMar>
        <w:top w:w="0" w:type="dxa"/>
        <w:left w:w="108" w:type="dxa"/>
        <w:bottom w:w="0" w:type="dxa"/>
        <w:right w:w="108" w:type="dxa"/>
      </w:tblCellMar>
    </w:tblPr>
  </w:style>
  <w:style w:type="numbering" w:customStyle="1" w:styleId="Bezlisty442">
    <w:name w:val="Bez listy442"/>
    <w:uiPriority w:val="99"/>
  </w:style>
  <w:style w:type="paragraph" w:customStyle="1" w:styleId="Normalny443">
    <w:name w:val="Normalny443"/>
    <w:qFormat/>
    <w:pPr>
      <w:spacing w:after="200"/>
    </w:pPr>
  </w:style>
  <w:style w:type="character" w:customStyle="1" w:styleId="Domylnaczcionkaakapitu443">
    <w:name w:val="Domyślna czcionka akapitu443"/>
    <w:uiPriority w:val="1"/>
  </w:style>
  <w:style w:type="table" w:customStyle="1" w:styleId="Standardowy443">
    <w:name w:val="Standardowy443"/>
    <w:uiPriority w:val="99"/>
    <w:tblPr>
      <w:tblInd w:w="0" w:type="dxa"/>
      <w:tblCellMar>
        <w:top w:w="0" w:type="dxa"/>
        <w:left w:w="108" w:type="dxa"/>
        <w:bottom w:w="0" w:type="dxa"/>
        <w:right w:w="108" w:type="dxa"/>
      </w:tblCellMar>
    </w:tblPr>
  </w:style>
  <w:style w:type="numbering" w:customStyle="1" w:styleId="Bezlisty443">
    <w:name w:val="Bez listy443"/>
    <w:uiPriority w:val="99"/>
  </w:style>
  <w:style w:type="paragraph" w:customStyle="1" w:styleId="Normalny444">
    <w:name w:val="Normalny444"/>
    <w:qFormat/>
    <w:pPr>
      <w:spacing w:after="200"/>
    </w:pPr>
  </w:style>
  <w:style w:type="character" w:customStyle="1" w:styleId="Domylnaczcionkaakapitu444">
    <w:name w:val="Domyślna czcionka akapitu444"/>
    <w:uiPriority w:val="1"/>
  </w:style>
  <w:style w:type="table" w:customStyle="1" w:styleId="Standardowy444">
    <w:name w:val="Standardowy444"/>
    <w:uiPriority w:val="99"/>
    <w:tblPr>
      <w:tblInd w:w="0" w:type="dxa"/>
      <w:tblCellMar>
        <w:top w:w="0" w:type="dxa"/>
        <w:left w:w="108" w:type="dxa"/>
        <w:bottom w:w="0" w:type="dxa"/>
        <w:right w:w="108" w:type="dxa"/>
      </w:tblCellMar>
    </w:tblPr>
  </w:style>
  <w:style w:type="numbering" w:customStyle="1" w:styleId="Bezlisty444">
    <w:name w:val="Bez listy444"/>
    <w:uiPriority w:val="99"/>
  </w:style>
  <w:style w:type="paragraph" w:customStyle="1" w:styleId="Normalny445">
    <w:name w:val="Normalny445"/>
    <w:qFormat/>
    <w:pPr>
      <w:spacing w:after="200"/>
    </w:pPr>
  </w:style>
  <w:style w:type="character" w:customStyle="1" w:styleId="Domylnaczcionkaakapitu445">
    <w:name w:val="Domyślna czcionka akapitu445"/>
    <w:uiPriority w:val="1"/>
  </w:style>
  <w:style w:type="table" w:customStyle="1" w:styleId="Standardowy445">
    <w:name w:val="Standardowy445"/>
    <w:uiPriority w:val="99"/>
    <w:tblPr>
      <w:tblInd w:w="0" w:type="dxa"/>
      <w:tblCellMar>
        <w:top w:w="0" w:type="dxa"/>
        <w:left w:w="108" w:type="dxa"/>
        <w:bottom w:w="0" w:type="dxa"/>
        <w:right w:w="108" w:type="dxa"/>
      </w:tblCellMar>
    </w:tblPr>
  </w:style>
  <w:style w:type="numbering" w:customStyle="1" w:styleId="Bezlisty445">
    <w:name w:val="Bez listy445"/>
    <w:uiPriority w:val="99"/>
  </w:style>
  <w:style w:type="paragraph" w:customStyle="1" w:styleId="Normalny446">
    <w:name w:val="Normalny446"/>
    <w:qFormat/>
    <w:pPr>
      <w:spacing w:after="200"/>
    </w:pPr>
  </w:style>
  <w:style w:type="character" w:customStyle="1" w:styleId="Domylnaczcionkaakapitu446">
    <w:name w:val="Domyślna czcionka akapitu446"/>
    <w:uiPriority w:val="1"/>
  </w:style>
  <w:style w:type="table" w:customStyle="1" w:styleId="Standardowy446">
    <w:name w:val="Standardowy446"/>
    <w:uiPriority w:val="99"/>
    <w:tblPr>
      <w:tblInd w:w="0" w:type="dxa"/>
      <w:tblCellMar>
        <w:top w:w="0" w:type="dxa"/>
        <w:left w:w="108" w:type="dxa"/>
        <w:bottom w:w="0" w:type="dxa"/>
        <w:right w:w="108" w:type="dxa"/>
      </w:tblCellMar>
    </w:tblPr>
  </w:style>
  <w:style w:type="numbering" w:customStyle="1" w:styleId="Bezlisty446">
    <w:name w:val="Bez listy446"/>
    <w:uiPriority w:val="99"/>
  </w:style>
  <w:style w:type="paragraph" w:customStyle="1" w:styleId="Normalny447">
    <w:name w:val="Normalny447"/>
    <w:qFormat/>
    <w:pPr>
      <w:spacing w:after="200"/>
    </w:pPr>
  </w:style>
  <w:style w:type="character" w:customStyle="1" w:styleId="Domylnaczcionkaakapitu447">
    <w:name w:val="Domyślna czcionka akapitu447"/>
    <w:uiPriority w:val="1"/>
  </w:style>
  <w:style w:type="table" w:customStyle="1" w:styleId="Standardowy447">
    <w:name w:val="Standardowy447"/>
    <w:uiPriority w:val="99"/>
    <w:tblPr>
      <w:tblInd w:w="0" w:type="dxa"/>
      <w:tblCellMar>
        <w:top w:w="0" w:type="dxa"/>
        <w:left w:w="108" w:type="dxa"/>
        <w:bottom w:w="0" w:type="dxa"/>
        <w:right w:w="108" w:type="dxa"/>
      </w:tblCellMar>
    </w:tblPr>
  </w:style>
  <w:style w:type="numbering" w:customStyle="1" w:styleId="Bezlisty447">
    <w:name w:val="Bez listy447"/>
    <w:uiPriority w:val="99"/>
  </w:style>
  <w:style w:type="paragraph" w:customStyle="1" w:styleId="Normalny448">
    <w:name w:val="Normalny448"/>
    <w:qFormat/>
    <w:pPr>
      <w:spacing w:after="200"/>
    </w:pPr>
  </w:style>
  <w:style w:type="character" w:customStyle="1" w:styleId="Domylnaczcionkaakapitu448">
    <w:name w:val="Domyślna czcionka akapitu448"/>
    <w:uiPriority w:val="1"/>
  </w:style>
  <w:style w:type="table" w:customStyle="1" w:styleId="Standardowy448">
    <w:name w:val="Standardowy448"/>
    <w:uiPriority w:val="99"/>
    <w:tblPr>
      <w:tblInd w:w="0" w:type="dxa"/>
      <w:tblCellMar>
        <w:top w:w="0" w:type="dxa"/>
        <w:left w:w="108" w:type="dxa"/>
        <w:bottom w:w="0" w:type="dxa"/>
        <w:right w:w="108" w:type="dxa"/>
      </w:tblCellMar>
    </w:tblPr>
  </w:style>
  <w:style w:type="numbering" w:customStyle="1" w:styleId="Bezlisty448">
    <w:name w:val="Bez listy448"/>
    <w:uiPriority w:val="99"/>
  </w:style>
  <w:style w:type="paragraph" w:customStyle="1" w:styleId="Normalny449">
    <w:name w:val="Normalny449"/>
    <w:qFormat/>
    <w:pPr>
      <w:spacing w:after="200"/>
    </w:pPr>
  </w:style>
  <w:style w:type="character" w:customStyle="1" w:styleId="Domylnaczcionkaakapitu449">
    <w:name w:val="Domyślna czcionka akapitu449"/>
    <w:uiPriority w:val="1"/>
  </w:style>
  <w:style w:type="table" w:customStyle="1" w:styleId="Standardowy449">
    <w:name w:val="Standardowy449"/>
    <w:uiPriority w:val="99"/>
    <w:tblPr>
      <w:tblInd w:w="0" w:type="dxa"/>
      <w:tblCellMar>
        <w:top w:w="0" w:type="dxa"/>
        <w:left w:w="108" w:type="dxa"/>
        <w:bottom w:w="0" w:type="dxa"/>
        <w:right w:w="108" w:type="dxa"/>
      </w:tblCellMar>
    </w:tblPr>
  </w:style>
  <w:style w:type="numbering" w:customStyle="1" w:styleId="Bezlisty449">
    <w:name w:val="Bez listy449"/>
    <w:uiPriority w:val="99"/>
  </w:style>
  <w:style w:type="paragraph" w:customStyle="1" w:styleId="Normalny450">
    <w:name w:val="Normalny450"/>
    <w:qFormat/>
    <w:pPr>
      <w:spacing w:after="200"/>
    </w:pPr>
  </w:style>
  <w:style w:type="character" w:customStyle="1" w:styleId="Domylnaczcionkaakapitu450">
    <w:name w:val="Domyślna czcionka akapitu450"/>
    <w:uiPriority w:val="1"/>
  </w:style>
  <w:style w:type="table" w:customStyle="1" w:styleId="Standardowy450">
    <w:name w:val="Standardowy450"/>
    <w:uiPriority w:val="99"/>
    <w:tblPr>
      <w:tblInd w:w="0" w:type="dxa"/>
      <w:tblCellMar>
        <w:top w:w="0" w:type="dxa"/>
        <w:left w:w="108" w:type="dxa"/>
        <w:bottom w:w="0" w:type="dxa"/>
        <w:right w:w="108" w:type="dxa"/>
      </w:tblCellMar>
    </w:tblPr>
  </w:style>
  <w:style w:type="numbering" w:customStyle="1" w:styleId="Bezlisty450">
    <w:name w:val="Bez listy450"/>
    <w:uiPriority w:val="99"/>
  </w:style>
  <w:style w:type="paragraph" w:customStyle="1" w:styleId="Normalny451">
    <w:name w:val="Normalny451"/>
    <w:qFormat/>
    <w:pPr>
      <w:spacing w:after="200"/>
    </w:pPr>
  </w:style>
  <w:style w:type="character" w:customStyle="1" w:styleId="Domylnaczcionkaakapitu451">
    <w:name w:val="Domyślna czcionka akapitu451"/>
    <w:uiPriority w:val="1"/>
  </w:style>
  <w:style w:type="table" w:customStyle="1" w:styleId="Standardowy451">
    <w:name w:val="Standardowy451"/>
    <w:uiPriority w:val="99"/>
    <w:tblPr>
      <w:tblInd w:w="0" w:type="dxa"/>
      <w:tblCellMar>
        <w:top w:w="0" w:type="dxa"/>
        <w:left w:w="108" w:type="dxa"/>
        <w:bottom w:w="0" w:type="dxa"/>
        <w:right w:w="108" w:type="dxa"/>
      </w:tblCellMar>
    </w:tblPr>
  </w:style>
  <w:style w:type="numbering" w:customStyle="1" w:styleId="Bezlisty451">
    <w:name w:val="Bez listy451"/>
    <w:uiPriority w:val="99"/>
  </w:style>
  <w:style w:type="paragraph" w:customStyle="1" w:styleId="Normalny452">
    <w:name w:val="Normalny452"/>
    <w:qFormat/>
    <w:pPr>
      <w:spacing w:after="200"/>
    </w:pPr>
  </w:style>
  <w:style w:type="character" w:customStyle="1" w:styleId="Domylnaczcionkaakapitu452">
    <w:name w:val="Domyślna czcionka akapitu452"/>
    <w:uiPriority w:val="1"/>
  </w:style>
  <w:style w:type="table" w:customStyle="1" w:styleId="Standardowy452">
    <w:name w:val="Standardowy452"/>
    <w:uiPriority w:val="99"/>
    <w:tblPr>
      <w:tblInd w:w="0" w:type="dxa"/>
      <w:tblCellMar>
        <w:top w:w="0" w:type="dxa"/>
        <w:left w:w="108" w:type="dxa"/>
        <w:bottom w:w="0" w:type="dxa"/>
        <w:right w:w="108" w:type="dxa"/>
      </w:tblCellMar>
    </w:tblPr>
  </w:style>
  <w:style w:type="numbering" w:customStyle="1" w:styleId="Bezlisty452">
    <w:name w:val="Bez listy452"/>
    <w:uiPriority w:val="99"/>
  </w:style>
  <w:style w:type="paragraph" w:customStyle="1" w:styleId="Normalny453">
    <w:name w:val="Normalny453"/>
    <w:qFormat/>
    <w:pPr>
      <w:spacing w:after="200"/>
    </w:pPr>
  </w:style>
  <w:style w:type="character" w:customStyle="1" w:styleId="Domylnaczcionkaakapitu453">
    <w:name w:val="Domyślna czcionka akapitu453"/>
    <w:uiPriority w:val="1"/>
  </w:style>
  <w:style w:type="table" w:customStyle="1" w:styleId="Standardowy453">
    <w:name w:val="Standardowy453"/>
    <w:uiPriority w:val="99"/>
    <w:tblPr>
      <w:tblInd w:w="0" w:type="dxa"/>
      <w:tblCellMar>
        <w:top w:w="0" w:type="dxa"/>
        <w:left w:w="108" w:type="dxa"/>
        <w:bottom w:w="0" w:type="dxa"/>
        <w:right w:w="108" w:type="dxa"/>
      </w:tblCellMar>
    </w:tblPr>
  </w:style>
  <w:style w:type="numbering" w:customStyle="1" w:styleId="Bezlisty453">
    <w:name w:val="Bez listy453"/>
    <w:uiPriority w:val="99"/>
  </w:style>
  <w:style w:type="paragraph" w:customStyle="1" w:styleId="Normalny454">
    <w:name w:val="Normalny454"/>
    <w:qFormat/>
    <w:pPr>
      <w:spacing w:after="200"/>
    </w:pPr>
  </w:style>
  <w:style w:type="character" w:customStyle="1" w:styleId="Domylnaczcionkaakapitu454">
    <w:name w:val="Domyślna czcionka akapitu454"/>
    <w:uiPriority w:val="1"/>
  </w:style>
  <w:style w:type="table" w:customStyle="1" w:styleId="Standardowy454">
    <w:name w:val="Standardowy454"/>
    <w:uiPriority w:val="99"/>
    <w:tblPr>
      <w:tblInd w:w="0" w:type="dxa"/>
      <w:tblCellMar>
        <w:top w:w="0" w:type="dxa"/>
        <w:left w:w="108" w:type="dxa"/>
        <w:bottom w:w="0" w:type="dxa"/>
        <w:right w:w="108" w:type="dxa"/>
      </w:tblCellMar>
    </w:tblPr>
  </w:style>
  <w:style w:type="numbering" w:customStyle="1" w:styleId="Bezlisty454">
    <w:name w:val="Bez listy454"/>
    <w:uiPriority w:val="99"/>
  </w:style>
  <w:style w:type="paragraph" w:customStyle="1" w:styleId="Normalny455">
    <w:name w:val="Normalny455"/>
    <w:qFormat/>
    <w:pPr>
      <w:spacing w:after="200"/>
    </w:pPr>
  </w:style>
  <w:style w:type="character" w:customStyle="1" w:styleId="Domylnaczcionkaakapitu455">
    <w:name w:val="Domyślna czcionka akapitu455"/>
    <w:uiPriority w:val="1"/>
  </w:style>
  <w:style w:type="table" w:customStyle="1" w:styleId="Standardowy455">
    <w:name w:val="Standardowy455"/>
    <w:uiPriority w:val="99"/>
    <w:tblPr>
      <w:tblInd w:w="0" w:type="dxa"/>
      <w:tblCellMar>
        <w:top w:w="0" w:type="dxa"/>
        <w:left w:w="108" w:type="dxa"/>
        <w:bottom w:w="0" w:type="dxa"/>
        <w:right w:w="108" w:type="dxa"/>
      </w:tblCellMar>
    </w:tblPr>
  </w:style>
  <w:style w:type="numbering" w:customStyle="1" w:styleId="Bezlisty455">
    <w:name w:val="Bez listy455"/>
    <w:uiPriority w:val="99"/>
  </w:style>
  <w:style w:type="paragraph" w:customStyle="1" w:styleId="Normalny456">
    <w:name w:val="Normalny456"/>
    <w:qFormat/>
    <w:pPr>
      <w:spacing w:after="200"/>
    </w:pPr>
  </w:style>
  <w:style w:type="character" w:customStyle="1" w:styleId="Domylnaczcionkaakapitu456">
    <w:name w:val="Domyślna czcionka akapitu456"/>
    <w:uiPriority w:val="1"/>
  </w:style>
  <w:style w:type="table" w:customStyle="1" w:styleId="Standardowy456">
    <w:name w:val="Standardowy456"/>
    <w:uiPriority w:val="99"/>
    <w:tblPr>
      <w:tblInd w:w="0" w:type="dxa"/>
      <w:tblCellMar>
        <w:top w:w="0" w:type="dxa"/>
        <w:left w:w="108" w:type="dxa"/>
        <w:bottom w:w="0" w:type="dxa"/>
        <w:right w:w="108" w:type="dxa"/>
      </w:tblCellMar>
    </w:tblPr>
  </w:style>
  <w:style w:type="numbering" w:customStyle="1" w:styleId="Bezlisty456">
    <w:name w:val="Bez listy456"/>
    <w:uiPriority w:val="99"/>
  </w:style>
  <w:style w:type="paragraph" w:customStyle="1" w:styleId="Normalny457">
    <w:name w:val="Normalny457"/>
    <w:qFormat/>
    <w:pPr>
      <w:spacing w:after="200"/>
    </w:pPr>
  </w:style>
  <w:style w:type="character" w:customStyle="1" w:styleId="Domylnaczcionkaakapitu457">
    <w:name w:val="Domyślna czcionka akapitu457"/>
    <w:uiPriority w:val="1"/>
  </w:style>
  <w:style w:type="table" w:customStyle="1" w:styleId="Standardowy457">
    <w:name w:val="Standardowy457"/>
    <w:uiPriority w:val="99"/>
    <w:tblPr>
      <w:tblInd w:w="0" w:type="dxa"/>
      <w:tblCellMar>
        <w:top w:w="0" w:type="dxa"/>
        <w:left w:w="108" w:type="dxa"/>
        <w:bottom w:w="0" w:type="dxa"/>
        <w:right w:w="108" w:type="dxa"/>
      </w:tblCellMar>
    </w:tblPr>
  </w:style>
  <w:style w:type="numbering" w:customStyle="1" w:styleId="Bezlisty457">
    <w:name w:val="Bez listy457"/>
    <w:uiPriority w:val="99"/>
  </w:style>
  <w:style w:type="paragraph" w:customStyle="1" w:styleId="Normalny458">
    <w:name w:val="Normalny458"/>
    <w:qFormat/>
    <w:pPr>
      <w:spacing w:after="200"/>
    </w:pPr>
  </w:style>
  <w:style w:type="character" w:customStyle="1" w:styleId="Domylnaczcionkaakapitu458">
    <w:name w:val="Domyślna czcionka akapitu458"/>
    <w:uiPriority w:val="1"/>
  </w:style>
  <w:style w:type="table" w:customStyle="1" w:styleId="Standardowy458">
    <w:name w:val="Standardowy458"/>
    <w:uiPriority w:val="99"/>
    <w:tblPr>
      <w:tblInd w:w="0" w:type="dxa"/>
      <w:tblCellMar>
        <w:top w:w="0" w:type="dxa"/>
        <w:left w:w="108" w:type="dxa"/>
        <w:bottom w:w="0" w:type="dxa"/>
        <w:right w:w="108" w:type="dxa"/>
      </w:tblCellMar>
    </w:tblPr>
  </w:style>
  <w:style w:type="numbering" w:customStyle="1" w:styleId="Bezlisty458">
    <w:name w:val="Bez listy458"/>
    <w:uiPriority w:val="99"/>
  </w:style>
  <w:style w:type="paragraph" w:customStyle="1" w:styleId="Normalny459">
    <w:name w:val="Normalny459"/>
    <w:qFormat/>
    <w:pPr>
      <w:spacing w:after="200"/>
    </w:pPr>
  </w:style>
  <w:style w:type="character" w:customStyle="1" w:styleId="Domylnaczcionkaakapitu459">
    <w:name w:val="Domyślna czcionka akapitu459"/>
    <w:uiPriority w:val="1"/>
  </w:style>
  <w:style w:type="table" w:customStyle="1" w:styleId="Standardowy459">
    <w:name w:val="Standardowy459"/>
    <w:uiPriority w:val="99"/>
    <w:tblPr>
      <w:tblInd w:w="0" w:type="dxa"/>
      <w:tblCellMar>
        <w:top w:w="0" w:type="dxa"/>
        <w:left w:w="108" w:type="dxa"/>
        <w:bottom w:w="0" w:type="dxa"/>
        <w:right w:w="108" w:type="dxa"/>
      </w:tblCellMar>
    </w:tblPr>
  </w:style>
  <w:style w:type="numbering" w:customStyle="1" w:styleId="Bezlisty459">
    <w:name w:val="Bez listy459"/>
    <w:uiPriority w:val="99"/>
  </w:style>
  <w:style w:type="paragraph" w:customStyle="1" w:styleId="Normalny460">
    <w:name w:val="Normalny460"/>
    <w:qFormat/>
    <w:pPr>
      <w:spacing w:after="200"/>
    </w:pPr>
  </w:style>
  <w:style w:type="character" w:customStyle="1" w:styleId="Domylnaczcionkaakapitu460">
    <w:name w:val="Domyślna czcionka akapitu460"/>
    <w:uiPriority w:val="1"/>
  </w:style>
  <w:style w:type="table" w:customStyle="1" w:styleId="Standardowy460">
    <w:name w:val="Standardowy460"/>
    <w:uiPriority w:val="99"/>
    <w:tblPr>
      <w:tblInd w:w="0" w:type="dxa"/>
      <w:tblCellMar>
        <w:top w:w="0" w:type="dxa"/>
        <w:left w:w="108" w:type="dxa"/>
        <w:bottom w:w="0" w:type="dxa"/>
        <w:right w:w="108" w:type="dxa"/>
      </w:tblCellMar>
    </w:tblPr>
  </w:style>
  <w:style w:type="numbering" w:customStyle="1" w:styleId="Bezlisty460">
    <w:name w:val="Bez listy460"/>
    <w:uiPriority w:val="99"/>
  </w:style>
  <w:style w:type="paragraph" w:customStyle="1" w:styleId="Normalny461">
    <w:name w:val="Normalny461"/>
    <w:qFormat/>
    <w:pPr>
      <w:spacing w:after="200"/>
    </w:pPr>
  </w:style>
  <w:style w:type="character" w:customStyle="1" w:styleId="Domylnaczcionkaakapitu461">
    <w:name w:val="Domyślna czcionka akapitu461"/>
    <w:uiPriority w:val="1"/>
  </w:style>
  <w:style w:type="table" w:customStyle="1" w:styleId="Standardowy461">
    <w:name w:val="Standardowy461"/>
    <w:uiPriority w:val="99"/>
    <w:tblPr>
      <w:tblInd w:w="0" w:type="dxa"/>
      <w:tblCellMar>
        <w:top w:w="0" w:type="dxa"/>
        <w:left w:w="108" w:type="dxa"/>
        <w:bottom w:w="0" w:type="dxa"/>
        <w:right w:w="108" w:type="dxa"/>
      </w:tblCellMar>
    </w:tblPr>
  </w:style>
  <w:style w:type="numbering" w:customStyle="1" w:styleId="Bezlisty461">
    <w:name w:val="Bez listy461"/>
    <w:uiPriority w:val="99"/>
  </w:style>
  <w:style w:type="paragraph" w:customStyle="1" w:styleId="Normalny462">
    <w:name w:val="Normalny462"/>
    <w:qFormat/>
    <w:pPr>
      <w:spacing w:after="200"/>
    </w:pPr>
  </w:style>
  <w:style w:type="character" w:customStyle="1" w:styleId="Domylnaczcionkaakapitu462">
    <w:name w:val="Domyślna czcionka akapitu462"/>
    <w:uiPriority w:val="1"/>
  </w:style>
  <w:style w:type="table" w:customStyle="1" w:styleId="Standardowy462">
    <w:name w:val="Standardowy462"/>
    <w:uiPriority w:val="99"/>
    <w:tblPr>
      <w:tblInd w:w="0" w:type="dxa"/>
      <w:tblCellMar>
        <w:top w:w="0" w:type="dxa"/>
        <w:left w:w="108" w:type="dxa"/>
        <w:bottom w:w="0" w:type="dxa"/>
        <w:right w:w="108" w:type="dxa"/>
      </w:tblCellMar>
    </w:tblPr>
  </w:style>
  <w:style w:type="numbering" w:customStyle="1" w:styleId="Bezlisty462">
    <w:name w:val="Bez listy462"/>
    <w:uiPriority w:val="99"/>
  </w:style>
  <w:style w:type="paragraph" w:customStyle="1" w:styleId="Normalny463">
    <w:name w:val="Normalny463"/>
    <w:qFormat/>
    <w:pPr>
      <w:spacing w:after="200"/>
    </w:pPr>
  </w:style>
  <w:style w:type="character" w:customStyle="1" w:styleId="Domylnaczcionkaakapitu463">
    <w:name w:val="Domyślna czcionka akapitu463"/>
    <w:uiPriority w:val="1"/>
  </w:style>
  <w:style w:type="table" w:customStyle="1" w:styleId="Standardowy463">
    <w:name w:val="Standardowy463"/>
    <w:uiPriority w:val="99"/>
    <w:tblPr>
      <w:tblInd w:w="0" w:type="dxa"/>
      <w:tblCellMar>
        <w:top w:w="0" w:type="dxa"/>
        <w:left w:w="108" w:type="dxa"/>
        <w:bottom w:w="0" w:type="dxa"/>
        <w:right w:w="108" w:type="dxa"/>
      </w:tblCellMar>
    </w:tblPr>
  </w:style>
  <w:style w:type="numbering" w:customStyle="1" w:styleId="Bezlisty463">
    <w:name w:val="Bez listy463"/>
    <w:uiPriority w:val="99"/>
  </w:style>
  <w:style w:type="paragraph" w:customStyle="1" w:styleId="Normalny464">
    <w:name w:val="Normalny464"/>
    <w:qFormat/>
    <w:pPr>
      <w:spacing w:after="200"/>
    </w:pPr>
  </w:style>
  <w:style w:type="character" w:customStyle="1" w:styleId="Domylnaczcionkaakapitu464">
    <w:name w:val="Domyślna czcionka akapitu464"/>
    <w:uiPriority w:val="1"/>
  </w:style>
  <w:style w:type="table" w:customStyle="1" w:styleId="Standardowy464">
    <w:name w:val="Standardowy464"/>
    <w:uiPriority w:val="99"/>
    <w:tblPr>
      <w:tblInd w:w="0" w:type="dxa"/>
      <w:tblCellMar>
        <w:top w:w="0" w:type="dxa"/>
        <w:left w:w="108" w:type="dxa"/>
        <w:bottom w:w="0" w:type="dxa"/>
        <w:right w:w="108" w:type="dxa"/>
      </w:tblCellMar>
    </w:tblPr>
  </w:style>
  <w:style w:type="numbering" w:customStyle="1" w:styleId="Bezlisty464">
    <w:name w:val="Bez listy464"/>
    <w:uiPriority w:val="99"/>
  </w:style>
  <w:style w:type="paragraph" w:customStyle="1" w:styleId="Normalny465">
    <w:name w:val="Normalny465"/>
    <w:qFormat/>
    <w:pPr>
      <w:spacing w:after="200"/>
    </w:pPr>
  </w:style>
  <w:style w:type="character" w:customStyle="1" w:styleId="Domylnaczcionkaakapitu465">
    <w:name w:val="Domyślna czcionka akapitu465"/>
    <w:uiPriority w:val="1"/>
  </w:style>
  <w:style w:type="table" w:customStyle="1" w:styleId="Standardowy465">
    <w:name w:val="Standardowy465"/>
    <w:uiPriority w:val="99"/>
    <w:tblPr>
      <w:tblInd w:w="0" w:type="dxa"/>
      <w:tblCellMar>
        <w:top w:w="0" w:type="dxa"/>
        <w:left w:w="108" w:type="dxa"/>
        <w:bottom w:w="0" w:type="dxa"/>
        <w:right w:w="108" w:type="dxa"/>
      </w:tblCellMar>
    </w:tblPr>
  </w:style>
  <w:style w:type="numbering" w:customStyle="1" w:styleId="Bezlisty465">
    <w:name w:val="Bez listy465"/>
    <w:uiPriority w:val="99"/>
  </w:style>
  <w:style w:type="paragraph" w:customStyle="1" w:styleId="Normalny466">
    <w:name w:val="Normalny466"/>
    <w:qFormat/>
    <w:pPr>
      <w:spacing w:after="200"/>
    </w:pPr>
  </w:style>
  <w:style w:type="character" w:customStyle="1" w:styleId="Domylnaczcionkaakapitu466">
    <w:name w:val="Domyślna czcionka akapitu466"/>
    <w:uiPriority w:val="1"/>
  </w:style>
  <w:style w:type="table" w:customStyle="1" w:styleId="Standardowy466">
    <w:name w:val="Standardowy466"/>
    <w:uiPriority w:val="99"/>
    <w:tblPr>
      <w:tblInd w:w="0" w:type="dxa"/>
      <w:tblCellMar>
        <w:top w:w="0" w:type="dxa"/>
        <w:left w:w="108" w:type="dxa"/>
        <w:bottom w:w="0" w:type="dxa"/>
        <w:right w:w="108" w:type="dxa"/>
      </w:tblCellMar>
    </w:tblPr>
  </w:style>
  <w:style w:type="numbering" w:customStyle="1" w:styleId="Bezlisty466">
    <w:name w:val="Bez listy466"/>
    <w:uiPriority w:val="99"/>
  </w:style>
  <w:style w:type="paragraph" w:customStyle="1" w:styleId="Normalny467">
    <w:name w:val="Normalny467"/>
    <w:qFormat/>
    <w:pPr>
      <w:spacing w:after="200"/>
    </w:pPr>
  </w:style>
  <w:style w:type="character" w:customStyle="1" w:styleId="Domylnaczcionkaakapitu467">
    <w:name w:val="Domyślna czcionka akapitu467"/>
    <w:uiPriority w:val="1"/>
  </w:style>
  <w:style w:type="table" w:customStyle="1" w:styleId="Standardowy467">
    <w:name w:val="Standardowy467"/>
    <w:uiPriority w:val="99"/>
    <w:tblPr>
      <w:tblInd w:w="0" w:type="dxa"/>
      <w:tblCellMar>
        <w:top w:w="0" w:type="dxa"/>
        <w:left w:w="108" w:type="dxa"/>
        <w:bottom w:w="0" w:type="dxa"/>
        <w:right w:w="108" w:type="dxa"/>
      </w:tblCellMar>
    </w:tblPr>
  </w:style>
  <w:style w:type="numbering" w:customStyle="1" w:styleId="Bezlisty467">
    <w:name w:val="Bez listy467"/>
    <w:uiPriority w:val="99"/>
  </w:style>
  <w:style w:type="paragraph" w:customStyle="1" w:styleId="Normalny468">
    <w:name w:val="Normalny468"/>
    <w:qFormat/>
    <w:pPr>
      <w:spacing w:after="200"/>
    </w:pPr>
  </w:style>
  <w:style w:type="character" w:customStyle="1" w:styleId="Domylnaczcionkaakapitu468">
    <w:name w:val="Domyślna czcionka akapitu468"/>
    <w:uiPriority w:val="1"/>
  </w:style>
  <w:style w:type="table" w:customStyle="1" w:styleId="Standardowy468">
    <w:name w:val="Standardowy468"/>
    <w:uiPriority w:val="99"/>
    <w:tblPr>
      <w:tblInd w:w="0" w:type="dxa"/>
      <w:tblCellMar>
        <w:top w:w="0" w:type="dxa"/>
        <w:left w:w="108" w:type="dxa"/>
        <w:bottom w:w="0" w:type="dxa"/>
        <w:right w:w="108" w:type="dxa"/>
      </w:tblCellMar>
    </w:tblPr>
  </w:style>
  <w:style w:type="numbering" w:customStyle="1" w:styleId="Bezlisty468">
    <w:name w:val="Bez listy468"/>
    <w:uiPriority w:val="99"/>
  </w:style>
  <w:style w:type="paragraph" w:customStyle="1" w:styleId="Normalny469">
    <w:name w:val="Normalny469"/>
    <w:qFormat/>
    <w:pPr>
      <w:spacing w:after="200"/>
    </w:pPr>
  </w:style>
  <w:style w:type="character" w:customStyle="1" w:styleId="Domylnaczcionkaakapitu469">
    <w:name w:val="Domyślna czcionka akapitu469"/>
    <w:uiPriority w:val="1"/>
  </w:style>
  <w:style w:type="table" w:customStyle="1" w:styleId="Standardowy469">
    <w:name w:val="Standardowy469"/>
    <w:uiPriority w:val="99"/>
    <w:tblPr>
      <w:tblInd w:w="0" w:type="dxa"/>
      <w:tblCellMar>
        <w:top w:w="0" w:type="dxa"/>
        <w:left w:w="108" w:type="dxa"/>
        <w:bottom w:w="0" w:type="dxa"/>
        <w:right w:w="108" w:type="dxa"/>
      </w:tblCellMar>
    </w:tblPr>
  </w:style>
  <w:style w:type="numbering" w:customStyle="1" w:styleId="Bezlisty469">
    <w:name w:val="Bez listy469"/>
    <w:uiPriority w:val="99"/>
  </w:style>
  <w:style w:type="paragraph" w:customStyle="1" w:styleId="Normalny470">
    <w:name w:val="Normalny470"/>
    <w:qFormat/>
    <w:pPr>
      <w:spacing w:after="200"/>
    </w:pPr>
  </w:style>
  <w:style w:type="character" w:customStyle="1" w:styleId="Domylnaczcionkaakapitu470">
    <w:name w:val="Domyślna czcionka akapitu470"/>
    <w:uiPriority w:val="1"/>
  </w:style>
  <w:style w:type="table" w:customStyle="1" w:styleId="Standardowy470">
    <w:name w:val="Standardowy470"/>
    <w:uiPriority w:val="99"/>
    <w:tblPr>
      <w:tblInd w:w="0" w:type="dxa"/>
      <w:tblCellMar>
        <w:top w:w="0" w:type="dxa"/>
        <w:left w:w="108" w:type="dxa"/>
        <w:bottom w:w="0" w:type="dxa"/>
        <w:right w:w="108" w:type="dxa"/>
      </w:tblCellMar>
    </w:tblPr>
  </w:style>
  <w:style w:type="numbering" w:customStyle="1" w:styleId="Bezlisty470">
    <w:name w:val="Bez listy470"/>
    <w:uiPriority w:val="99"/>
  </w:style>
  <w:style w:type="paragraph" w:customStyle="1" w:styleId="Normalny471">
    <w:name w:val="Normalny471"/>
    <w:qFormat/>
    <w:pPr>
      <w:spacing w:after="200"/>
    </w:pPr>
  </w:style>
  <w:style w:type="character" w:customStyle="1" w:styleId="Domylnaczcionkaakapitu471">
    <w:name w:val="Domyślna czcionka akapitu471"/>
    <w:uiPriority w:val="1"/>
  </w:style>
  <w:style w:type="table" w:customStyle="1" w:styleId="Standardowy471">
    <w:name w:val="Standardowy471"/>
    <w:uiPriority w:val="99"/>
    <w:tblPr>
      <w:tblInd w:w="0" w:type="dxa"/>
      <w:tblCellMar>
        <w:top w:w="0" w:type="dxa"/>
        <w:left w:w="108" w:type="dxa"/>
        <w:bottom w:w="0" w:type="dxa"/>
        <w:right w:w="108" w:type="dxa"/>
      </w:tblCellMar>
    </w:tblPr>
  </w:style>
  <w:style w:type="numbering" w:customStyle="1" w:styleId="Bezlisty471">
    <w:name w:val="Bez listy471"/>
    <w:uiPriority w:val="99"/>
  </w:style>
  <w:style w:type="paragraph" w:customStyle="1" w:styleId="Normalny472">
    <w:name w:val="Normalny472"/>
    <w:qFormat/>
    <w:pPr>
      <w:spacing w:after="200"/>
    </w:pPr>
  </w:style>
  <w:style w:type="character" w:customStyle="1" w:styleId="Domylnaczcionkaakapitu472">
    <w:name w:val="Domyślna czcionka akapitu472"/>
    <w:uiPriority w:val="1"/>
  </w:style>
  <w:style w:type="table" w:customStyle="1" w:styleId="Standardowy472">
    <w:name w:val="Standardowy472"/>
    <w:uiPriority w:val="99"/>
    <w:tblPr>
      <w:tblInd w:w="0" w:type="dxa"/>
      <w:tblCellMar>
        <w:top w:w="0" w:type="dxa"/>
        <w:left w:w="108" w:type="dxa"/>
        <w:bottom w:w="0" w:type="dxa"/>
        <w:right w:w="108" w:type="dxa"/>
      </w:tblCellMar>
    </w:tblPr>
  </w:style>
  <w:style w:type="numbering" w:customStyle="1" w:styleId="Bezlisty472">
    <w:name w:val="Bez listy472"/>
    <w:uiPriority w:val="99"/>
  </w:style>
  <w:style w:type="paragraph" w:customStyle="1" w:styleId="Normalny473">
    <w:name w:val="Normalny473"/>
    <w:qFormat/>
    <w:pPr>
      <w:spacing w:after="200"/>
    </w:pPr>
  </w:style>
  <w:style w:type="character" w:customStyle="1" w:styleId="Domylnaczcionkaakapitu473">
    <w:name w:val="Domyślna czcionka akapitu473"/>
    <w:uiPriority w:val="1"/>
  </w:style>
  <w:style w:type="table" w:customStyle="1" w:styleId="Standardowy473">
    <w:name w:val="Standardowy473"/>
    <w:uiPriority w:val="99"/>
    <w:tblPr>
      <w:tblInd w:w="0" w:type="dxa"/>
      <w:tblCellMar>
        <w:top w:w="0" w:type="dxa"/>
        <w:left w:w="108" w:type="dxa"/>
        <w:bottom w:w="0" w:type="dxa"/>
        <w:right w:w="108" w:type="dxa"/>
      </w:tblCellMar>
    </w:tblPr>
  </w:style>
  <w:style w:type="numbering" w:customStyle="1" w:styleId="Bezlisty473">
    <w:name w:val="Bez listy473"/>
    <w:uiPriority w:val="99"/>
  </w:style>
  <w:style w:type="paragraph" w:customStyle="1" w:styleId="Normalny474">
    <w:name w:val="Normalny474"/>
    <w:qFormat/>
    <w:pPr>
      <w:spacing w:after="200"/>
    </w:pPr>
  </w:style>
  <w:style w:type="character" w:customStyle="1" w:styleId="Domylnaczcionkaakapitu474">
    <w:name w:val="Domyślna czcionka akapitu474"/>
    <w:uiPriority w:val="1"/>
  </w:style>
  <w:style w:type="table" w:customStyle="1" w:styleId="Standardowy474">
    <w:name w:val="Standardowy474"/>
    <w:uiPriority w:val="99"/>
    <w:tblPr>
      <w:tblInd w:w="0" w:type="dxa"/>
      <w:tblCellMar>
        <w:top w:w="0" w:type="dxa"/>
        <w:left w:w="108" w:type="dxa"/>
        <w:bottom w:w="0" w:type="dxa"/>
        <w:right w:w="108" w:type="dxa"/>
      </w:tblCellMar>
    </w:tblPr>
  </w:style>
  <w:style w:type="numbering" w:customStyle="1" w:styleId="Bezlisty474">
    <w:name w:val="Bez listy474"/>
    <w:uiPriority w:val="99"/>
  </w:style>
  <w:style w:type="paragraph" w:customStyle="1" w:styleId="Normalny475">
    <w:name w:val="Normalny475"/>
    <w:qFormat/>
    <w:pPr>
      <w:spacing w:after="200"/>
    </w:pPr>
  </w:style>
  <w:style w:type="character" w:customStyle="1" w:styleId="Domylnaczcionkaakapitu475">
    <w:name w:val="Domyślna czcionka akapitu475"/>
    <w:uiPriority w:val="1"/>
  </w:style>
  <w:style w:type="table" w:customStyle="1" w:styleId="Standardowy475">
    <w:name w:val="Standardowy475"/>
    <w:uiPriority w:val="99"/>
    <w:tblPr>
      <w:tblInd w:w="0" w:type="dxa"/>
      <w:tblCellMar>
        <w:top w:w="0" w:type="dxa"/>
        <w:left w:w="108" w:type="dxa"/>
        <w:bottom w:w="0" w:type="dxa"/>
        <w:right w:w="108" w:type="dxa"/>
      </w:tblCellMar>
    </w:tblPr>
  </w:style>
  <w:style w:type="numbering" w:customStyle="1" w:styleId="Bezlisty475">
    <w:name w:val="Bez listy475"/>
    <w:uiPriority w:val="99"/>
  </w:style>
  <w:style w:type="paragraph" w:customStyle="1" w:styleId="Normalny476">
    <w:name w:val="Normalny476"/>
    <w:qFormat/>
    <w:pPr>
      <w:spacing w:after="200"/>
    </w:pPr>
  </w:style>
  <w:style w:type="character" w:customStyle="1" w:styleId="Domylnaczcionkaakapitu476">
    <w:name w:val="Domyślna czcionka akapitu476"/>
    <w:uiPriority w:val="1"/>
  </w:style>
  <w:style w:type="table" w:customStyle="1" w:styleId="Standardowy476">
    <w:name w:val="Standardowy476"/>
    <w:uiPriority w:val="99"/>
    <w:tblPr>
      <w:tblInd w:w="0" w:type="dxa"/>
      <w:tblCellMar>
        <w:top w:w="0" w:type="dxa"/>
        <w:left w:w="108" w:type="dxa"/>
        <w:bottom w:w="0" w:type="dxa"/>
        <w:right w:w="108" w:type="dxa"/>
      </w:tblCellMar>
    </w:tblPr>
  </w:style>
  <w:style w:type="numbering" w:customStyle="1" w:styleId="Bezlisty476">
    <w:name w:val="Bez listy476"/>
    <w:uiPriority w:val="99"/>
  </w:style>
  <w:style w:type="paragraph" w:customStyle="1" w:styleId="Normalny477">
    <w:name w:val="Normalny477"/>
    <w:qFormat/>
    <w:pPr>
      <w:spacing w:after="200"/>
    </w:pPr>
  </w:style>
  <w:style w:type="character" w:customStyle="1" w:styleId="Domylnaczcionkaakapitu477">
    <w:name w:val="Domyślna czcionka akapitu477"/>
    <w:uiPriority w:val="1"/>
  </w:style>
  <w:style w:type="table" w:customStyle="1" w:styleId="Standardowy477">
    <w:name w:val="Standardowy477"/>
    <w:uiPriority w:val="99"/>
    <w:tblPr>
      <w:tblInd w:w="0" w:type="dxa"/>
      <w:tblCellMar>
        <w:top w:w="0" w:type="dxa"/>
        <w:left w:w="108" w:type="dxa"/>
        <w:bottom w:w="0" w:type="dxa"/>
        <w:right w:w="108" w:type="dxa"/>
      </w:tblCellMar>
    </w:tblPr>
  </w:style>
  <w:style w:type="numbering" w:customStyle="1" w:styleId="Bezlisty477">
    <w:name w:val="Bez listy477"/>
    <w:uiPriority w:val="99"/>
  </w:style>
  <w:style w:type="paragraph" w:customStyle="1" w:styleId="Normalny478">
    <w:name w:val="Normalny478"/>
    <w:qFormat/>
    <w:pPr>
      <w:spacing w:after="200"/>
    </w:pPr>
  </w:style>
  <w:style w:type="character" w:customStyle="1" w:styleId="Domylnaczcionkaakapitu478">
    <w:name w:val="Domyślna czcionka akapitu478"/>
    <w:uiPriority w:val="1"/>
  </w:style>
  <w:style w:type="table" w:customStyle="1" w:styleId="Standardowy478">
    <w:name w:val="Standardowy478"/>
    <w:uiPriority w:val="99"/>
    <w:tblPr>
      <w:tblInd w:w="0" w:type="dxa"/>
      <w:tblCellMar>
        <w:top w:w="0" w:type="dxa"/>
        <w:left w:w="108" w:type="dxa"/>
        <w:bottom w:w="0" w:type="dxa"/>
        <w:right w:w="108" w:type="dxa"/>
      </w:tblCellMar>
    </w:tblPr>
  </w:style>
  <w:style w:type="numbering" w:customStyle="1" w:styleId="Bezlisty478">
    <w:name w:val="Bez listy478"/>
    <w:uiPriority w:val="99"/>
  </w:style>
  <w:style w:type="paragraph" w:customStyle="1" w:styleId="Normalny479">
    <w:name w:val="Normalny479"/>
    <w:qFormat/>
    <w:pPr>
      <w:spacing w:after="200"/>
    </w:pPr>
  </w:style>
  <w:style w:type="character" w:customStyle="1" w:styleId="Domylnaczcionkaakapitu479">
    <w:name w:val="Domyślna czcionka akapitu479"/>
    <w:uiPriority w:val="1"/>
  </w:style>
  <w:style w:type="table" w:customStyle="1" w:styleId="Standardowy479">
    <w:name w:val="Standardowy479"/>
    <w:uiPriority w:val="99"/>
    <w:tblPr>
      <w:tblInd w:w="0" w:type="dxa"/>
      <w:tblCellMar>
        <w:top w:w="0" w:type="dxa"/>
        <w:left w:w="108" w:type="dxa"/>
        <w:bottom w:w="0" w:type="dxa"/>
        <w:right w:w="108" w:type="dxa"/>
      </w:tblCellMar>
    </w:tblPr>
  </w:style>
  <w:style w:type="numbering" w:customStyle="1" w:styleId="Bezlisty479">
    <w:name w:val="Bez listy479"/>
    <w:uiPriority w:val="99"/>
  </w:style>
  <w:style w:type="paragraph" w:customStyle="1" w:styleId="Normalny480">
    <w:name w:val="Normalny480"/>
    <w:qFormat/>
    <w:pPr>
      <w:spacing w:after="200"/>
    </w:pPr>
  </w:style>
  <w:style w:type="character" w:customStyle="1" w:styleId="Domylnaczcionkaakapitu480">
    <w:name w:val="Domyślna czcionka akapitu480"/>
    <w:uiPriority w:val="1"/>
  </w:style>
  <w:style w:type="table" w:customStyle="1" w:styleId="Standardowy480">
    <w:name w:val="Standardowy480"/>
    <w:uiPriority w:val="99"/>
    <w:tblPr>
      <w:tblInd w:w="0" w:type="dxa"/>
      <w:tblCellMar>
        <w:top w:w="0" w:type="dxa"/>
        <w:left w:w="108" w:type="dxa"/>
        <w:bottom w:w="0" w:type="dxa"/>
        <w:right w:w="108" w:type="dxa"/>
      </w:tblCellMar>
    </w:tblPr>
  </w:style>
  <w:style w:type="numbering" w:customStyle="1" w:styleId="Bezlisty480">
    <w:name w:val="Bez listy480"/>
    <w:uiPriority w:val="99"/>
  </w:style>
  <w:style w:type="paragraph" w:customStyle="1" w:styleId="Normalny481">
    <w:name w:val="Normalny481"/>
    <w:qFormat/>
    <w:pPr>
      <w:spacing w:after="200"/>
    </w:pPr>
  </w:style>
  <w:style w:type="character" w:customStyle="1" w:styleId="Domylnaczcionkaakapitu481">
    <w:name w:val="Domyślna czcionka akapitu481"/>
    <w:uiPriority w:val="1"/>
  </w:style>
  <w:style w:type="table" w:customStyle="1" w:styleId="Standardowy481">
    <w:name w:val="Standardowy481"/>
    <w:uiPriority w:val="99"/>
    <w:tblPr>
      <w:tblInd w:w="0" w:type="dxa"/>
      <w:tblCellMar>
        <w:top w:w="0" w:type="dxa"/>
        <w:left w:w="108" w:type="dxa"/>
        <w:bottom w:w="0" w:type="dxa"/>
        <w:right w:w="108" w:type="dxa"/>
      </w:tblCellMar>
    </w:tblPr>
  </w:style>
  <w:style w:type="numbering" w:customStyle="1" w:styleId="Bezlisty481">
    <w:name w:val="Bez listy481"/>
    <w:uiPriority w:val="99"/>
  </w:style>
  <w:style w:type="paragraph" w:customStyle="1" w:styleId="Normalny482">
    <w:name w:val="Normalny482"/>
    <w:qFormat/>
    <w:pPr>
      <w:spacing w:after="200"/>
    </w:pPr>
  </w:style>
  <w:style w:type="character" w:customStyle="1" w:styleId="Domylnaczcionkaakapitu482">
    <w:name w:val="Domyślna czcionka akapitu482"/>
    <w:uiPriority w:val="1"/>
  </w:style>
  <w:style w:type="table" w:customStyle="1" w:styleId="Standardowy482">
    <w:name w:val="Standardowy482"/>
    <w:uiPriority w:val="99"/>
    <w:tblPr>
      <w:tblInd w:w="0" w:type="dxa"/>
      <w:tblCellMar>
        <w:top w:w="0" w:type="dxa"/>
        <w:left w:w="108" w:type="dxa"/>
        <w:bottom w:w="0" w:type="dxa"/>
        <w:right w:w="108" w:type="dxa"/>
      </w:tblCellMar>
    </w:tblPr>
  </w:style>
  <w:style w:type="numbering" w:customStyle="1" w:styleId="Bezlisty482">
    <w:name w:val="Bez listy482"/>
    <w:uiPriority w:val="99"/>
  </w:style>
  <w:style w:type="paragraph" w:customStyle="1" w:styleId="Normalny483">
    <w:name w:val="Normalny483"/>
    <w:qFormat/>
    <w:pPr>
      <w:spacing w:after="200"/>
    </w:pPr>
  </w:style>
  <w:style w:type="character" w:customStyle="1" w:styleId="Domylnaczcionkaakapitu483">
    <w:name w:val="Domyślna czcionka akapitu483"/>
    <w:uiPriority w:val="1"/>
  </w:style>
  <w:style w:type="table" w:customStyle="1" w:styleId="Standardowy483">
    <w:name w:val="Standardowy483"/>
    <w:uiPriority w:val="99"/>
    <w:tblPr>
      <w:tblInd w:w="0" w:type="dxa"/>
      <w:tblCellMar>
        <w:top w:w="0" w:type="dxa"/>
        <w:left w:w="108" w:type="dxa"/>
        <w:bottom w:w="0" w:type="dxa"/>
        <w:right w:w="108" w:type="dxa"/>
      </w:tblCellMar>
    </w:tblPr>
  </w:style>
  <w:style w:type="numbering" w:customStyle="1" w:styleId="Bezlisty483">
    <w:name w:val="Bez listy483"/>
    <w:uiPriority w:val="99"/>
  </w:style>
  <w:style w:type="paragraph" w:customStyle="1" w:styleId="Normalny484">
    <w:name w:val="Normalny484"/>
    <w:qFormat/>
    <w:pPr>
      <w:spacing w:after="200"/>
    </w:pPr>
  </w:style>
  <w:style w:type="character" w:customStyle="1" w:styleId="Domylnaczcionkaakapitu484">
    <w:name w:val="Domyślna czcionka akapitu484"/>
    <w:uiPriority w:val="1"/>
  </w:style>
  <w:style w:type="table" w:customStyle="1" w:styleId="Standardowy484">
    <w:name w:val="Standardowy484"/>
    <w:uiPriority w:val="99"/>
    <w:tblPr>
      <w:tblInd w:w="0" w:type="dxa"/>
      <w:tblCellMar>
        <w:top w:w="0" w:type="dxa"/>
        <w:left w:w="108" w:type="dxa"/>
        <w:bottom w:w="0" w:type="dxa"/>
        <w:right w:w="108" w:type="dxa"/>
      </w:tblCellMar>
    </w:tblPr>
  </w:style>
  <w:style w:type="numbering" w:customStyle="1" w:styleId="Bezlisty484">
    <w:name w:val="Bez listy484"/>
    <w:uiPriority w:val="99"/>
  </w:style>
  <w:style w:type="paragraph" w:customStyle="1" w:styleId="Normalny485">
    <w:name w:val="Normalny485"/>
    <w:qFormat/>
    <w:pPr>
      <w:spacing w:after="200"/>
    </w:pPr>
  </w:style>
  <w:style w:type="character" w:customStyle="1" w:styleId="Domylnaczcionkaakapitu485">
    <w:name w:val="Domyślna czcionka akapitu485"/>
    <w:uiPriority w:val="1"/>
  </w:style>
  <w:style w:type="table" w:customStyle="1" w:styleId="Standardowy485">
    <w:name w:val="Standardowy485"/>
    <w:uiPriority w:val="99"/>
    <w:tblPr>
      <w:tblInd w:w="0" w:type="dxa"/>
      <w:tblCellMar>
        <w:top w:w="0" w:type="dxa"/>
        <w:left w:w="108" w:type="dxa"/>
        <w:bottom w:w="0" w:type="dxa"/>
        <w:right w:w="108" w:type="dxa"/>
      </w:tblCellMar>
    </w:tblPr>
  </w:style>
  <w:style w:type="numbering" w:customStyle="1" w:styleId="Bezlisty485">
    <w:name w:val="Bez listy485"/>
    <w:uiPriority w:val="99"/>
  </w:style>
  <w:style w:type="paragraph" w:customStyle="1" w:styleId="Normalny486">
    <w:name w:val="Normalny486"/>
    <w:qFormat/>
    <w:pPr>
      <w:spacing w:after="200"/>
    </w:pPr>
  </w:style>
  <w:style w:type="character" w:customStyle="1" w:styleId="Domylnaczcionkaakapitu486">
    <w:name w:val="Domyślna czcionka akapitu486"/>
    <w:uiPriority w:val="1"/>
  </w:style>
  <w:style w:type="table" w:customStyle="1" w:styleId="Standardowy486">
    <w:name w:val="Standardowy486"/>
    <w:uiPriority w:val="99"/>
    <w:tblPr>
      <w:tblInd w:w="0" w:type="dxa"/>
      <w:tblCellMar>
        <w:top w:w="0" w:type="dxa"/>
        <w:left w:w="108" w:type="dxa"/>
        <w:bottom w:w="0" w:type="dxa"/>
        <w:right w:w="108" w:type="dxa"/>
      </w:tblCellMar>
    </w:tblPr>
  </w:style>
  <w:style w:type="numbering" w:customStyle="1" w:styleId="Bezlisty486">
    <w:name w:val="Bez listy486"/>
    <w:uiPriority w:val="99"/>
  </w:style>
  <w:style w:type="paragraph" w:customStyle="1" w:styleId="Normalny487">
    <w:name w:val="Normalny487"/>
    <w:qFormat/>
    <w:pPr>
      <w:spacing w:after="200"/>
    </w:pPr>
  </w:style>
  <w:style w:type="character" w:customStyle="1" w:styleId="Domylnaczcionkaakapitu487">
    <w:name w:val="Domyślna czcionka akapitu487"/>
    <w:uiPriority w:val="1"/>
  </w:style>
  <w:style w:type="table" w:customStyle="1" w:styleId="Standardowy487">
    <w:name w:val="Standardowy487"/>
    <w:uiPriority w:val="99"/>
    <w:tblPr>
      <w:tblInd w:w="0" w:type="dxa"/>
      <w:tblCellMar>
        <w:top w:w="0" w:type="dxa"/>
        <w:left w:w="108" w:type="dxa"/>
        <w:bottom w:w="0" w:type="dxa"/>
        <w:right w:w="108" w:type="dxa"/>
      </w:tblCellMar>
    </w:tblPr>
  </w:style>
  <w:style w:type="numbering" w:customStyle="1" w:styleId="Bezlisty487">
    <w:name w:val="Bez listy487"/>
    <w:uiPriority w:val="99"/>
  </w:style>
  <w:style w:type="paragraph" w:customStyle="1" w:styleId="Normalny488">
    <w:name w:val="Normalny488"/>
    <w:qFormat/>
    <w:pPr>
      <w:spacing w:after="200"/>
    </w:pPr>
  </w:style>
  <w:style w:type="character" w:customStyle="1" w:styleId="Domylnaczcionkaakapitu488">
    <w:name w:val="Domyślna czcionka akapitu488"/>
    <w:uiPriority w:val="1"/>
  </w:style>
  <w:style w:type="table" w:customStyle="1" w:styleId="Standardowy488">
    <w:name w:val="Standardowy488"/>
    <w:uiPriority w:val="99"/>
    <w:tblPr>
      <w:tblInd w:w="0" w:type="dxa"/>
      <w:tblCellMar>
        <w:top w:w="0" w:type="dxa"/>
        <w:left w:w="108" w:type="dxa"/>
        <w:bottom w:w="0" w:type="dxa"/>
        <w:right w:w="108" w:type="dxa"/>
      </w:tblCellMar>
    </w:tblPr>
  </w:style>
  <w:style w:type="numbering" w:customStyle="1" w:styleId="Bezlisty488">
    <w:name w:val="Bez listy488"/>
    <w:uiPriority w:val="99"/>
  </w:style>
  <w:style w:type="paragraph" w:customStyle="1" w:styleId="Normalny489">
    <w:name w:val="Normalny489"/>
    <w:qFormat/>
    <w:pPr>
      <w:spacing w:after="200"/>
    </w:pPr>
  </w:style>
  <w:style w:type="character" w:customStyle="1" w:styleId="Domylnaczcionkaakapitu489">
    <w:name w:val="Domyślna czcionka akapitu489"/>
    <w:uiPriority w:val="1"/>
  </w:style>
  <w:style w:type="table" w:customStyle="1" w:styleId="Standardowy489">
    <w:name w:val="Standardowy489"/>
    <w:uiPriority w:val="99"/>
    <w:tblPr>
      <w:tblInd w:w="0" w:type="dxa"/>
      <w:tblCellMar>
        <w:top w:w="0" w:type="dxa"/>
        <w:left w:w="108" w:type="dxa"/>
        <w:bottom w:w="0" w:type="dxa"/>
        <w:right w:w="108" w:type="dxa"/>
      </w:tblCellMar>
    </w:tblPr>
  </w:style>
  <w:style w:type="numbering" w:customStyle="1" w:styleId="Bezlisty489">
    <w:name w:val="Bez listy489"/>
    <w:uiPriority w:val="99"/>
  </w:style>
  <w:style w:type="paragraph" w:customStyle="1" w:styleId="Normalny490">
    <w:name w:val="Normalny490"/>
    <w:qFormat/>
    <w:pPr>
      <w:spacing w:after="200"/>
    </w:pPr>
  </w:style>
  <w:style w:type="character" w:customStyle="1" w:styleId="Domylnaczcionkaakapitu490">
    <w:name w:val="Domyślna czcionka akapitu490"/>
    <w:uiPriority w:val="1"/>
  </w:style>
  <w:style w:type="table" w:customStyle="1" w:styleId="Standardowy490">
    <w:name w:val="Standardowy490"/>
    <w:uiPriority w:val="99"/>
    <w:tblPr>
      <w:tblInd w:w="0" w:type="dxa"/>
      <w:tblCellMar>
        <w:top w:w="0" w:type="dxa"/>
        <w:left w:w="108" w:type="dxa"/>
        <w:bottom w:w="0" w:type="dxa"/>
        <w:right w:w="108" w:type="dxa"/>
      </w:tblCellMar>
    </w:tblPr>
  </w:style>
  <w:style w:type="numbering" w:customStyle="1" w:styleId="Bezlisty490">
    <w:name w:val="Bez listy490"/>
    <w:uiPriority w:val="99"/>
  </w:style>
  <w:style w:type="paragraph" w:customStyle="1" w:styleId="Normalny491">
    <w:name w:val="Normalny491"/>
    <w:qFormat/>
    <w:pPr>
      <w:spacing w:after="200"/>
    </w:pPr>
  </w:style>
  <w:style w:type="character" w:customStyle="1" w:styleId="Domylnaczcionkaakapitu491">
    <w:name w:val="Domyślna czcionka akapitu491"/>
    <w:uiPriority w:val="1"/>
  </w:style>
  <w:style w:type="table" w:customStyle="1" w:styleId="Standardowy491">
    <w:name w:val="Standardowy491"/>
    <w:uiPriority w:val="99"/>
    <w:tblPr>
      <w:tblInd w:w="0" w:type="dxa"/>
      <w:tblCellMar>
        <w:top w:w="0" w:type="dxa"/>
        <w:left w:w="108" w:type="dxa"/>
        <w:bottom w:w="0" w:type="dxa"/>
        <w:right w:w="108" w:type="dxa"/>
      </w:tblCellMar>
    </w:tblPr>
  </w:style>
  <w:style w:type="numbering" w:customStyle="1" w:styleId="Bezlisty491">
    <w:name w:val="Bez listy491"/>
    <w:uiPriority w:val="99"/>
  </w:style>
  <w:style w:type="paragraph" w:customStyle="1" w:styleId="Normalny492">
    <w:name w:val="Normalny492"/>
    <w:qFormat/>
    <w:pPr>
      <w:spacing w:after="200"/>
    </w:pPr>
  </w:style>
  <w:style w:type="character" w:customStyle="1" w:styleId="Domylnaczcionkaakapitu492">
    <w:name w:val="Domyślna czcionka akapitu492"/>
    <w:uiPriority w:val="1"/>
  </w:style>
  <w:style w:type="table" w:customStyle="1" w:styleId="Standardowy492">
    <w:name w:val="Standardowy492"/>
    <w:uiPriority w:val="99"/>
    <w:tblPr>
      <w:tblInd w:w="0" w:type="dxa"/>
      <w:tblCellMar>
        <w:top w:w="0" w:type="dxa"/>
        <w:left w:w="108" w:type="dxa"/>
        <w:bottom w:w="0" w:type="dxa"/>
        <w:right w:w="108" w:type="dxa"/>
      </w:tblCellMar>
    </w:tblPr>
  </w:style>
  <w:style w:type="numbering" w:customStyle="1" w:styleId="Bezlisty492">
    <w:name w:val="Bez listy492"/>
    <w:uiPriority w:val="99"/>
  </w:style>
  <w:style w:type="paragraph" w:customStyle="1" w:styleId="Normalny493">
    <w:name w:val="Normalny493"/>
    <w:qFormat/>
    <w:pPr>
      <w:spacing w:after="200"/>
    </w:pPr>
  </w:style>
  <w:style w:type="character" w:customStyle="1" w:styleId="Domylnaczcionkaakapitu493">
    <w:name w:val="Domyślna czcionka akapitu493"/>
    <w:uiPriority w:val="1"/>
  </w:style>
  <w:style w:type="table" w:customStyle="1" w:styleId="Standardowy493">
    <w:name w:val="Standardowy493"/>
    <w:uiPriority w:val="99"/>
    <w:tblPr>
      <w:tblInd w:w="0" w:type="dxa"/>
      <w:tblCellMar>
        <w:top w:w="0" w:type="dxa"/>
        <w:left w:w="108" w:type="dxa"/>
        <w:bottom w:w="0" w:type="dxa"/>
        <w:right w:w="108" w:type="dxa"/>
      </w:tblCellMar>
    </w:tblPr>
  </w:style>
  <w:style w:type="numbering" w:customStyle="1" w:styleId="Bezlisty493">
    <w:name w:val="Bez listy493"/>
    <w:uiPriority w:val="99"/>
  </w:style>
  <w:style w:type="paragraph" w:customStyle="1" w:styleId="Normalny494">
    <w:name w:val="Normalny494"/>
    <w:qFormat/>
    <w:pPr>
      <w:spacing w:after="200"/>
    </w:pPr>
  </w:style>
  <w:style w:type="character" w:customStyle="1" w:styleId="Domylnaczcionkaakapitu494">
    <w:name w:val="Domyślna czcionka akapitu494"/>
    <w:uiPriority w:val="1"/>
  </w:style>
  <w:style w:type="table" w:customStyle="1" w:styleId="Standardowy494">
    <w:name w:val="Standardowy494"/>
    <w:uiPriority w:val="99"/>
    <w:tblPr>
      <w:tblInd w:w="0" w:type="dxa"/>
      <w:tblCellMar>
        <w:top w:w="0" w:type="dxa"/>
        <w:left w:w="108" w:type="dxa"/>
        <w:bottom w:w="0" w:type="dxa"/>
        <w:right w:w="108" w:type="dxa"/>
      </w:tblCellMar>
    </w:tblPr>
  </w:style>
  <w:style w:type="numbering" w:customStyle="1" w:styleId="Bezlisty494">
    <w:name w:val="Bez listy494"/>
    <w:uiPriority w:val="99"/>
  </w:style>
  <w:style w:type="paragraph" w:customStyle="1" w:styleId="Normalny495">
    <w:name w:val="Normalny495"/>
    <w:qFormat/>
    <w:pPr>
      <w:spacing w:after="200"/>
    </w:pPr>
  </w:style>
  <w:style w:type="character" w:customStyle="1" w:styleId="Domylnaczcionkaakapitu495">
    <w:name w:val="Domyślna czcionka akapitu495"/>
    <w:uiPriority w:val="1"/>
  </w:style>
  <w:style w:type="table" w:customStyle="1" w:styleId="Standardowy495">
    <w:name w:val="Standardowy495"/>
    <w:uiPriority w:val="99"/>
    <w:tblPr>
      <w:tblInd w:w="0" w:type="dxa"/>
      <w:tblCellMar>
        <w:top w:w="0" w:type="dxa"/>
        <w:left w:w="108" w:type="dxa"/>
        <w:bottom w:w="0" w:type="dxa"/>
        <w:right w:w="108" w:type="dxa"/>
      </w:tblCellMar>
    </w:tblPr>
  </w:style>
  <w:style w:type="numbering" w:customStyle="1" w:styleId="Bezlisty495">
    <w:name w:val="Bez listy495"/>
    <w:uiPriority w:val="99"/>
  </w:style>
  <w:style w:type="paragraph" w:customStyle="1" w:styleId="Normalny496">
    <w:name w:val="Normalny496"/>
    <w:qFormat/>
    <w:pPr>
      <w:spacing w:after="200"/>
    </w:pPr>
  </w:style>
  <w:style w:type="character" w:customStyle="1" w:styleId="Domylnaczcionkaakapitu496">
    <w:name w:val="Domyślna czcionka akapitu496"/>
    <w:uiPriority w:val="1"/>
  </w:style>
  <w:style w:type="table" w:customStyle="1" w:styleId="Standardowy496">
    <w:name w:val="Standardowy496"/>
    <w:uiPriority w:val="99"/>
    <w:tblPr>
      <w:tblInd w:w="0" w:type="dxa"/>
      <w:tblCellMar>
        <w:top w:w="0" w:type="dxa"/>
        <w:left w:w="108" w:type="dxa"/>
        <w:bottom w:w="0" w:type="dxa"/>
        <w:right w:w="108" w:type="dxa"/>
      </w:tblCellMar>
    </w:tblPr>
  </w:style>
  <w:style w:type="numbering" w:customStyle="1" w:styleId="Bezlisty496">
    <w:name w:val="Bez listy496"/>
    <w:uiPriority w:val="99"/>
  </w:style>
  <w:style w:type="paragraph" w:customStyle="1" w:styleId="Normalny497">
    <w:name w:val="Normalny497"/>
    <w:qFormat/>
    <w:pPr>
      <w:spacing w:after="200"/>
    </w:pPr>
  </w:style>
  <w:style w:type="character" w:customStyle="1" w:styleId="Domylnaczcionkaakapitu497">
    <w:name w:val="Domyślna czcionka akapitu497"/>
    <w:uiPriority w:val="1"/>
  </w:style>
  <w:style w:type="table" w:customStyle="1" w:styleId="Standardowy497">
    <w:name w:val="Standardowy497"/>
    <w:uiPriority w:val="99"/>
    <w:tblPr>
      <w:tblInd w:w="0" w:type="dxa"/>
      <w:tblCellMar>
        <w:top w:w="0" w:type="dxa"/>
        <w:left w:w="108" w:type="dxa"/>
        <w:bottom w:w="0" w:type="dxa"/>
        <w:right w:w="108" w:type="dxa"/>
      </w:tblCellMar>
    </w:tblPr>
  </w:style>
  <w:style w:type="numbering" w:customStyle="1" w:styleId="Bezlisty497">
    <w:name w:val="Bez listy497"/>
    <w:uiPriority w:val="99"/>
  </w:style>
  <w:style w:type="paragraph" w:customStyle="1" w:styleId="Normalny498">
    <w:name w:val="Normalny498"/>
    <w:qFormat/>
    <w:pPr>
      <w:spacing w:after="200"/>
    </w:pPr>
  </w:style>
  <w:style w:type="character" w:customStyle="1" w:styleId="Domylnaczcionkaakapitu498">
    <w:name w:val="Domyślna czcionka akapitu498"/>
    <w:uiPriority w:val="1"/>
  </w:style>
  <w:style w:type="table" w:customStyle="1" w:styleId="Standardowy498">
    <w:name w:val="Standardowy498"/>
    <w:uiPriority w:val="99"/>
    <w:tblPr>
      <w:tblInd w:w="0" w:type="dxa"/>
      <w:tblCellMar>
        <w:top w:w="0" w:type="dxa"/>
        <w:left w:w="108" w:type="dxa"/>
        <w:bottom w:w="0" w:type="dxa"/>
        <w:right w:w="108" w:type="dxa"/>
      </w:tblCellMar>
    </w:tblPr>
  </w:style>
  <w:style w:type="numbering" w:customStyle="1" w:styleId="Bezlisty498">
    <w:name w:val="Bez listy498"/>
    <w:uiPriority w:val="99"/>
  </w:style>
  <w:style w:type="paragraph" w:customStyle="1" w:styleId="Normalny499">
    <w:name w:val="Normalny499"/>
    <w:qFormat/>
    <w:pPr>
      <w:spacing w:after="200"/>
    </w:pPr>
  </w:style>
  <w:style w:type="character" w:customStyle="1" w:styleId="Domylnaczcionkaakapitu499">
    <w:name w:val="Domyślna czcionka akapitu499"/>
    <w:uiPriority w:val="1"/>
  </w:style>
  <w:style w:type="table" w:customStyle="1" w:styleId="Standardowy499">
    <w:name w:val="Standardowy499"/>
    <w:uiPriority w:val="99"/>
    <w:tblPr>
      <w:tblInd w:w="0" w:type="dxa"/>
      <w:tblCellMar>
        <w:top w:w="0" w:type="dxa"/>
        <w:left w:w="108" w:type="dxa"/>
        <w:bottom w:w="0" w:type="dxa"/>
        <w:right w:w="108" w:type="dxa"/>
      </w:tblCellMar>
    </w:tblPr>
  </w:style>
  <w:style w:type="numbering" w:customStyle="1" w:styleId="Bezlisty499">
    <w:name w:val="Bez listy499"/>
    <w:uiPriority w:val="99"/>
  </w:style>
  <w:style w:type="paragraph" w:customStyle="1" w:styleId="Normalny500">
    <w:name w:val="Normalny500"/>
    <w:qFormat/>
    <w:pPr>
      <w:spacing w:after="200"/>
    </w:pPr>
  </w:style>
  <w:style w:type="character" w:customStyle="1" w:styleId="Domylnaczcionkaakapitu500">
    <w:name w:val="Domyślna czcionka akapitu500"/>
    <w:uiPriority w:val="1"/>
  </w:style>
  <w:style w:type="table" w:customStyle="1" w:styleId="Standardowy500">
    <w:name w:val="Standardowy500"/>
    <w:uiPriority w:val="99"/>
    <w:tblPr>
      <w:tblInd w:w="0" w:type="dxa"/>
      <w:tblCellMar>
        <w:top w:w="0" w:type="dxa"/>
        <w:left w:w="108" w:type="dxa"/>
        <w:bottom w:w="0" w:type="dxa"/>
        <w:right w:w="108" w:type="dxa"/>
      </w:tblCellMar>
    </w:tblPr>
  </w:style>
  <w:style w:type="numbering" w:customStyle="1" w:styleId="Bezlisty500">
    <w:name w:val="Bez listy500"/>
    <w:uiPriority w:val="99"/>
  </w:style>
  <w:style w:type="paragraph" w:customStyle="1" w:styleId="Normalny501">
    <w:name w:val="Normalny501"/>
    <w:qFormat/>
    <w:pPr>
      <w:spacing w:after="200"/>
    </w:pPr>
  </w:style>
  <w:style w:type="character" w:customStyle="1" w:styleId="Domylnaczcionkaakapitu501">
    <w:name w:val="Domyślna czcionka akapitu501"/>
    <w:uiPriority w:val="1"/>
  </w:style>
  <w:style w:type="table" w:customStyle="1" w:styleId="Standardowy501">
    <w:name w:val="Standardowy501"/>
    <w:uiPriority w:val="99"/>
    <w:tblPr>
      <w:tblInd w:w="0" w:type="dxa"/>
      <w:tblCellMar>
        <w:top w:w="0" w:type="dxa"/>
        <w:left w:w="108" w:type="dxa"/>
        <w:bottom w:w="0" w:type="dxa"/>
        <w:right w:w="108" w:type="dxa"/>
      </w:tblCellMar>
    </w:tblPr>
  </w:style>
  <w:style w:type="numbering" w:customStyle="1" w:styleId="Bezlisty501">
    <w:name w:val="Bez listy501"/>
    <w:uiPriority w:val="99"/>
  </w:style>
  <w:style w:type="paragraph" w:customStyle="1" w:styleId="Normalny502">
    <w:name w:val="Normalny502"/>
    <w:qFormat/>
    <w:pPr>
      <w:spacing w:after="200"/>
    </w:pPr>
  </w:style>
  <w:style w:type="character" w:customStyle="1" w:styleId="Domylnaczcionkaakapitu502">
    <w:name w:val="Domyślna czcionka akapitu502"/>
    <w:uiPriority w:val="1"/>
  </w:style>
  <w:style w:type="table" w:customStyle="1" w:styleId="Standardowy502">
    <w:name w:val="Standardowy502"/>
    <w:uiPriority w:val="99"/>
    <w:tblPr>
      <w:tblInd w:w="0" w:type="dxa"/>
      <w:tblCellMar>
        <w:top w:w="0" w:type="dxa"/>
        <w:left w:w="108" w:type="dxa"/>
        <w:bottom w:w="0" w:type="dxa"/>
        <w:right w:w="108" w:type="dxa"/>
      </w:tblCellMar>
    </w:tblPr>
  </w:style>
  <w:style w:type="numbering" w:customStyle="1" w:styleId="Bezlisty502">
    <w:name w:val="Bez listy502"/>
    <w:uiPriority w:val="99"/>
  </w:style>
  <w:style w:type="paragraph" w:customStyle="1" w:styleId="Normalny503">
    <w:name w:val="Normalny503"/>
    <w:qFormat/>
    <w:pPr>
      <w:spacing w:after="200"/>
    </w:pPr>
  </w:style>
  <w:style w:type="character" w:customStyle="1" w:styleId="Domylnaczcionkaakapitu503">
    <w:name w:val="Domyślna czcionka akapitu503"/>
    <w:uiPriority w:val="1"/>
  </w:style>
  <w:style w:type="table" w:customStyle="1" w:styleId="Standardowy503">
    <w:name w:val="Standardowy503"/>
    <w:uiPriority w:val="99"/>
    <w:tblPr>
      <w:tblInd w:w="0" w:type="dxa"/>
      <w:tblCellMar>
        <w:top w:w="0" w:type="dxa"/>
        <w:left w:w="108" w:type="dxa"/>
        <w:bottom w:w="0" w:type="dxa"/>
        <w:right w:w="108" w:type="dxa"/>
      </w:tblCellMar>
    </w:tblPr>
  </w:style>
  <w:style w:type="numbering" w:customStyle="1" w:styleId="Bezlisty503">
    <w:name w:val="Bez listy503"/>
    <w:uiPriority w:val="99"/>
  </w:style>
  <w:style w:type="paragraph" w:customStyle="1" w:styleId="Normalny504">
    <w:name w:val="Normalny504"/>
    <w:qFormat/>
    <w:pPr>
      <w:spacing w:after="200"/>
    </w:pPr>
  </w:style>
  <w:style w:type="character" w:customStyle="1" w:styleId="Domylnaczcionkaakapitu504">
    <w:name w:val="Domyślna czcionka akapitu504"/>
    <w:uiPriority w:val="1"/>
  </w:style>
  <w:style w:type="table" w:customStyle="1" w:styleId="Standardowy504">
    <w:name w:val="Standardowy504"/>
    <w:uiPriority w:val="99"/>
    <w:tblPr>
      <w:tblInd w:w="0" w:type="dxa"/>
      <w:tblCellMar>
        <w:top w:w="0" w:type="dxa"/>
        <w:left w:w="108" w:type="dxa"/>
        <w:bottom w:w="0" w:type="dxa"/>
        <w:right w:w="108" w:type="dxa"/>
      </w:tblCellMar>
    </w:tblPr>
  </w:style>
  <w:style w:type="numbering" w:customStyle="1" w:styleId="Bezlisty504">
    <w:name w:val="Bez listy504"/>
    <w:uiPriority w:val="99"/>
  </w:style>
  <w:style w:type="paragraph" w:customStyle="1" w:styleId="Normalny505">
    <w:name w:val="Normalny505"/>
    <w:qFormat/>
    <w:pPr>
      <w:spacing w:after="200"/>
    </w:pPr>
  </w:style>
  <w:style w:type="character" w:customStyle="1" w:styleId="Domylnaczcionkaakapitu505">
    <w:name w:val="Domyślna czcionka akapitu505"/>
    <w:uiPriority w:val="1"/>
  </w:style>
  <w:style w:type="table" w:customStyle="1" w:styleId="Standardowy505">
    <w:name w:val="Standardowy505"/>
    <w:uiPriority w:val="99"/>
    <w:tblPr>
      <w:tblInd w:w="0" w:type="dxa"/>
      <w:tblCellMar>
        <w:top w:w="0" w:type="dxa"/>
        <w:left w:w="108" w:type="dxa"/>
        <w:bottom w:w="0" w:type="dxa"/>
        <w:right w:w="108" w:type="dxa"/>
      </w:tblCellMar>
    </w:tblPr>
  </w:style>
  <w:style w:type="numbering" w:customStyle="1" w:styleId="Bezlisty505">
    <w:name w:val="Bez listy505"/>
    <w:uiPriority w:val="99"/>
  </w:style>
  <w:style w:type="paragraph" w:customStyle="1" w:styleId="Normalny506">
    <w:name w:val="Normalny506"/>
    <w:qFormat/>
    <w:pPr>
      <w:spacing w:after="200"/>
    </w:pPr>
  </w:style>
  <w:style w:type="character" w:customStyle="1" w:styleId="Domylnaczcionkaakapitu506">
    <w:name w:val="Domyślna czcionka akapitu506"/>
    <w:uiPriority w:val="1"/>
  </w:style>
  <w:style w:type="table" w:customStyle="1" w:styleId="Standardowy506">
    <w:name w:val="Standardowy506"/>
    <w:uiPriority w:val="99"/>
    <w:tblPr>
      <w:tblInd w:w="0" w:type="dxa"/>
      <w:tblCellMar>
        <w:top w:w="0" w:type="dxa"/>
        <w:left w:w="108" w:type="dxa"/>
        <w:bottom w:w="0" w:type="dxa"/>
        <w:right w:w="108" w:type="dxa"/>
      </w:tblCellMar>
    </w:tblPr>
  </w:style>
  <w:style w:type="numbering" w:customStyle="1" w:styleId="Bezlisty506">
    <w:name w:val="Bez listy506"/>
    <w:uiPriority w:val="99"/>
  </w:style>
  <w:style w:type="paragraph" w:customStyle="1" w:styleId="Normalny507">
    <w:name w:val="Normalny507"/>
    <w:qFormat/>
    <w:pPr>
      <w:spacing w:after="200"/>
    </w:pPr>
  </w:style>
  <w:style w:type="character" w:customStyle="1" w:styleId="Domylnaczcionkaakapitu507">
    <w:name w:val="Domyślna czcionka akapitu507"/>
    <w:uiPriority w:val="1"/>
  </w:style>
  <w:style w:type="table" w:customStyle="1" w:styleId="Standardowy507">
    <w:name w:val="Standardowy507"/>
    <w:uiPriority w:val="99"/>
    <w:tblPr>
      <w:tblInd w:w="0" w:type="dxa"/>
      <w:tblCellMar>
        <w:top w:w="0" w:type="dxa"/>
        <w:left w:w="108" w:type="dxa"/>
        <w:bottom w:w="0" w:type="dxa"/>
        <w:right w:w="108" w:type="dxa"/>
      </w:tblCellMar>
    </w:tblPr>
  </w:style>
  <w:style w:type="numbering" w:customStyle="1" w:styleId="Bezlisty507">
    <w:name w:val="Bez listy507"/>
    <w:uiPriority w:val="99"/>
  </w:style>
  <w:style w:type="paragraph" w:customStyle="1" w:styleId="Normalny508">
    <w:name w:val="Normalny508"/>
    <w:qFormat/>
    <w:pPr>
      <w:spacing w:after="200"/>
    </w:pPr>
  </w:style>
  <w:style w:type="character" w:customStyle="1" w:styleId="Domylnaczcionkaakapitu508">
    <w:name w:val="Domyślna czcionka akapitu508"/>
    <w:uiPriority w:val="1"/>
  </w:style>
  <w:style w:type="table" w:customStyle="1" w:styleId="Standardowy508">
    <w:name w:val="Standardowy508"/>
    <w:uiPriority w:val="99"/>
    <w:tblPr>
      <w:tblInd w:w="0" w:type="dxa"/>
      <w:tblCellMar>
        <w:top w:w="0" w:type="dxa"/>
        <w:left w:w="108" w:type="dxa"/>
        <w:bottom w:w="0" w:type="dxa"/>
        <w:right w:w="108" w:type="dxa"/>
      </w:tblCellMar>
    </w:tblPr>
  </w:style>
  <w:style w:type="numbering" w:customStyle="1" w:styleId="Bezlisty508">
    <w:name w:val="Bez listy508"/>
    <w:uiPriority w:val="99"/>
  </w:style>
  <w:style w:type="paragraph" w:customStyle="1" w:styleId="Normalny509">
    <w:name w:val="Normalny509"/>
    <w:qFormat/>
    <w:pPr>
      <w:spacing w:after="200"/>
    </w:pPr>
  </w:style>
  <w:style w:type="character" w:customStyle="1" w:styleId="Domylnaczcionkaakapitu509">
    <w:name w:val="Domyślna czcionka akapitu509"/>
    <w:uiPriority w:val="1"/>
  </w:style>
  <w:style w:type="table" w:customStyle="1" w:styleId="Standardowy509">
    <w:name w:val="Standardowy509"/>
    <w:uiPriority w:val="99"/>
    <w:tblPr>
      <w:tblInd w:w="0" w:type="dxa"/>
      <w:tblCellMar>
        <w:top w:w="0" w:type="dxa"/>
        <w:left w:w="108" w:type="dxa"/>
        <w:bottom w:w="0" w:type="dxa"/>
        <w:right w:w="108" w:type="dxa"/>
      </w:tblCellMar>
    </w:tblPr>
  </w:style>
  <w:style w:type="numbering" w:customStyle="1" w:styleId="Bezlisty509">
    <w:name w:val="Bez listy509"/>
    <w:uiPriority w:val="99"/>
  </w:style>
  <w:style w:type="paragraph" w:customStyle="1" w:styleId="Normalny510">
    <w:name w:val="Normalny510"/>
    <w:qFormat/>
    <w:pPr>
      <w:spacing w:after="200"/>
    </w:pPr>
  </w:style>
  <w:style w:type="character" w:customStyle="1" w:styleId="Domylnaczcionkaakapitu510">
    <w:name w:val="Domyślna czcionka akapitu510"/>
    <w:uiPriority w:val="1"/>
  </w:style>
  <w:style w:type="table" w:customStyle="1" w:styleId="Standardowy510">
    <w:name w:val="Standardowy510"/>
    <w:uiPriority w:val="99"/>
    <w:tblPr>
      <w:tblInd w:w="0" w:type="dxa"/>
      <w:tblCellMar>
        <w:top w:w="0" w:type="dxa"/>
        <w:left w:w="108" w:type="dxa"/>
        <w:bottom w:w="0" w:type="dxa"/>
        <w:right w:w="108" w:type="dxa"/>
      </w:tblCellMar>
    </w:tblPr>
  </w:style>
  <w:style w:type="numbering" w:customStyle="1" w:styleId="Bezlisty510">
    <w:name w:val="Bez listy510"/>
    <w:uiPriority w:val="99"/>
  </w:style>
  <w:style w:type="paragraph" w:customStyle="1" w:styleId="Normalny511">
    <w:name w:val="Normalny511"/>
    <w:qFormat/>
    <w:pPr>
      <w:spacing w:after="200"/>
    </w:pPr>
  </w:style>
  <w:style w:type="character" w:customStyle="1" w:styleId="Domylnaczcionkaakapitu511">
    <w:name w:val="Domyślna czcionka akapitu511"/>
    <w:uiPriority w:val="1"/>
  </w:style>
  <w:style w:type="table" w:customStyle="1" w:styleId="Standardowy511">
    <w:name w:val="Standardowy511"/>
    <w:uiPriority w:val="99"/>
    <w:tblPr>
      <w:tblInd w:w="0" w:type="dxa"/>
      <w:tblCellMar>
        <w:top w:w="0" w:type="dxa"/>
        <w:left w:w="108" w:type="dxa"/>
        <w:bottom w:w="0" w:type="dxa"/>
        <w:right w:w="108" w:type="dxa"/>
      </w:tblCellMar>
    </w:tblPr>
  </w:style>
  <w:style w:type="numbering" w:customStyle="1" w:styleId="Bezlisty511">
    <w:name w:val="Bez listy511"/>
    <w:uiPriority w:val="99"/>
  </w:style>
  <w:style w:type="paragraph" w:customStyle="1" w:styleId="Normalny512">
    <w:name w:val="Normalny512"/>
    <w:qFormat/>
    <w:pPr>
      <w:spacing w:after="200"/>
    </w:pPr>
  </w:style>
  <w:style w:type="character" w:customStyle="1" w:styleId="Domylnaczcionkaakapitu512">
    <w:name w:val="Domyślna czcionka akapitu512"/>
    <w:uiPriority w:val="1"/>
  </w:style>
  <w:style w:type="table" w:customStyle="1" w:styleId="Standardowy512">
    <w:name w:val="Standardowy512"/>
    <w:uiPriority w:val="99"/>
    <w:tblPr>
      <w:tblInd w:w="0" w:type="dxa"/>
      <w:tblCellMar>
        <w:top w:w="0" w:type="dxa"/>
        <w:left w:w="108" w:type="dxa"/>
        <w:bottom w:w="0" w:type="dxa"/>
        <w:right w:w="108" w:type="dxa"/>
      </w:tblCellMar>
    </w:tblPr>
  </w:style>
  <w:style w:type="numbering" w:customStyle="1" w:styleId="Bezlisty512">
    <w:name w:val="Bez listy512"/>
    <w:uiPriority w:val="99"/>
  </w:style>
  <w:style w:type="paragraph" w:customStyle="1" w:styleId="Normalny513">
    <w:name w:val="Normalny513"/>
    <w:qFormat/>
    <w:pPr>
      <w:spacing w:after="200"/>
    </w:pPr>
  </w:style>
  <w:style w:type="character" w:customStyle="1" w:styleId="Domylnaczcionkaakapitu513">
    <w:name w:val="Domyślna czcionka akapitu513"/>
    <w:uiPriority w:val="1"/>
  </w:style>
  <w:style w:type="table" w:customStyle="1" w:styleId="Standardowy513">
    <w:name w:val="Standardowy513"/>
    <w:uiPriority w:val="99"/>
    <w:tblPr>
      <w:tblInd w:w="0" w:type="dxa"/>
      <w:tblCellMar>
        <w:top w:w="0" w:type="dxa"/>
        <w:left w:w="108" w:type="dxa"/>
        <w:bottom w:w="0" w:type="dxa"/>
        <w:right w:w="108" w:type="dxa"/>
      </w:tblCellMar>
    </w:tblPr>
  </w:style>
  <w:style w:type="numbering" w:customStyle="1" w:styleId="Bezlisty513">
    <w:name w:val="Bez listy513"/>
    <w:uiPriority w:val="99"/>
  </w:style>
  <w:style w:type="paragraph" w:customStyle="1" w:styleId="Normalny514">
    <w:name w:val="Normalny514"/>
    <w:qFormat/>
    <w:pPr>
      <w:spacing w:after="200"/>
    </w:pPr>
  </w:style>
  <w:style w:type="character" w:customStyle="1" w:styleId="Domylnaczcionkaakapitu514">
    <w:name w:val="Domyślna czcionka akapitu514"/>
    <w:uiPriority w:val="1"/>
  </w:style>
  <w:style w:type="table" w:customStyle="1" w:styleId="Standardowy514">
    <w:name w:val="Standardowy514"/>
    <w:uiPriority w:val="99"/>
    <w:tblPr>
      <w:tblInd w:w="0" w:type="dxa"/>
      <w:tblCellMar>
        <w:top w:w="0" w:type="dxa"/>
        <w:left w:w="108" w:type="dxa"/>
        <w:bottom w:w="0" w:type="dxa"/>
        <w:right w:w="108" w:type="dxa"/>
      </w:tblCellMar>
    </w:tblPr>
  </w:style>
  <w:style w:type="numbering" w:customStyle="1" w:styleId="Bezlisty514">
    <w:name w:val="Bez listy514"/>
    <w:uiPriority w:val="99"/>
  </w:style>
  <w:style w:type="paragraph" w:customStyle="1" w:styleId="Normalny515">
    <w:name w:val="Normalny515"/>
    <w:qFormat/>
    <w:pPr>
      <w:spacing w:after="200"/>
    </w:pPr>
  </w:style>
  <w:style w:type="character" w:customStyle="1" w:styleId="Domylnaczcionkaakapitu515">
    <w:name w:val="Domyślna czcionka akapitu515"/>
    <w:uiPriority w:val="1"/>
  </w:style>
  <w:style w:type="table" w:customStyle="1" w:styleId="Standardowy515">
    <w:name w:val="Standardowy515"/>
    <w:uiPriority w:val="99"/>
    <w:tblPr>
      <w:tblInd w:w="0" w:type="dxa"/>
      <w:tblCellMar>
        <w:top w:w="0" w:type="dxa"/>
        <w:left w:w="108" w:type="dxa"/>
        <w:bottom w:w="0" w:type="dxa"/>
        <w:right w:w="108" w:type="dxa"/>
      </w:tblCellMar>
    </w:tblPr>
  </w:style>
  <w:style w:type="numbering" w:customStyle="1" w:styleId="Bezlisty515">
    <w:name w:val="Bez listy515"/>
    <w:uiPriority w:val="99"/>
  </w:style>
  <w:style w:type="paragraph" w:customStyle="1" w:styleId="Normalny516">
    <w:name w:val="Normalny516"/>
    <w:qFormat/>
    <w:pPr>
      <w:spacing w:after="200"/>
    </w:pPr>
  </w:style>
  <w:style w:type="character" w:customStyle="1" w:styleId="Domylnaczcionkaakapitu516">
    <w:name w:val="Domyślna czcionka akapitu516"/>
    <w:uiPriority w:val="1"/>
  </w:style>
  <w:style w:type="table" w:customStyle="1" w:styleId="Standardowy516">
    <w:name w:val="Standardowy516"/>
    <w:uiPriority w:val="99"/>
    <w:tblPr>
      <w:tblInd w:w="0" w:type="dxa"/>
      <w:tblCellMar>
        <w:top w:w="0" w:type="dxa"/>
        <w:left w:w="108" w:type="dxa"/>
        <w:bottom w:w="0" w:type="dxa"/>
        <w:right w:w="108" w:type="dxa"/>
      </w:tblCellMar>
    </w:tblPr>
  </w:style>
  <w:style w:type="numbering" w:customStyle="1" w:styleId="Bezlisty516">
    <w:name w:val="Bez listy516"/>
    <w:uiPriority w:val="99"/>
  </w:style>
  <w:style w:type="paragraph" w:customStyle="1" w:styleId="Normalny517">
    <w:name w:val="Normalny517"/>
    <w:qFormat/>
    <w:pPr>
      <w:spacing w:after="200"/>
    </w:pPr>
  </w:style>
  <w:style w:type="character" w:customStyle="1" w:styleId="Domylnaczcionkaakapitu517">
    <w:name w:val="Domyślna czcionka akapitu517"/>
    <w:uiPriority w:val="1"/>
  </w:style>
  <w:style w:type="table" w:customStyle="1" w:styleId="Standardowy517">
    <w:name w:val="Standardowy517"/>
    <w:uiPriority w:val="99"/>
    <w:tblPr>
      <w:tblInd w:w="0" w:type="dxa"/>
      <w:tblCellMar>
        <w:top w:w="0" w:type="dxa"/>
        <w:left w:w="108" w:type="dxa"/>
        <w:bottom w:w="0" w:type="dxa"/>
        <w:right w:w="108" w:type="dxa"/>
      </w:tblCellMar>
    </w:tblPr>
  </w:style>
  <w:style w:type="numbering" w:customStyle="1" w:styleId="Bezlisty517">
    <w:name w:val="Bez listy517"/>
    <w:uiPriority w:val="99"/>
  </w:style>
  <w:style w:type="paragraph" w:customStyle="1" w:styleId="Normalny518">
    <w:name w:val="Normalny518"/>
    <w:qFormat/>
    <w:pPr>
      <w:spacing w:after="200"/>
    </w:pPr>
  </w:style>
  <w:style w:type="character" w:customStyle="1" w:styleId="Domylnaczcionkaakapitu518">
    <w:name w:val="Domyślna czcionka akapitu518"/>
    <w:uiPriority w:val="1"/>
  </w:style>
  <w:style w:type="table" w:customStyle="1" w:styleId="Standardowy518">
    <w:name w:val="Standardowy518"/>
    <w:uiPriority w:val="99"/>
    <w:tblPr>
      <w:tblInd w:w="0" w:type="dxa"/>
      <w:tblCellMar>
        <w:top w:w="0" w:type="dxa"/>
        <w:left w:w="108" w:type="dxa"/>
        <w:bottom w:w="0" w:type="dxa"/>
        <w:right w:w="108" w:type="dxa"/>
      </w:tblCellMar>
    </w:tblPr>
  </w:style>
  <w:style w:type="numbering" w:customStyle="1" w:styleId="Bezlisty518">
    <w:name w:val="Bez listy518"/>
    <w:uiPriority w:val="99"/>
  </w:style>
  <w:style w:type="paragraph" w:customStyle="1" w:styleId="Normalny519">
    <w:name w:val="Normalny519"/>
    <w:qFormat/>
    <w:pPr>
      <w:spacing w:after="200"/>
    </w:pPr>
  </w:style>
  <w:style w:type="character" w:customStyle="1" w:styleId="Domylnaczcionkaakapitu519">
    <w:name w:val="Domyślna czcionka akapitu519"/>
    <w:uiPriority w:val="1"/>
  </w:style>
  <w:style w:type="table" w:customStyle="1" w:styleId="Standardowy519">
    <w:name w:val="Standardowy519"/>
    <w:uiPriority w:val="99"/>
    <w:tblPr>
      <w:tblInd w:w="0" w:type="dxa"/>
      <w:tblCellMar>
        <w:top w:w="0" w:type="dxa"/>
        <w:left w:w="108" w:type="dxa"/>
        <w:bottom w:w="0" w:type="dxa"/>
        <w:right w:w="108" w:type="dxa"/>
      </w:tblCellMar>
    </w:tblPr>
  </w:style>
  <w:style w:type="numbering" w:customStyle="1" w:styleId="Bezlisty519">
    <w:name w:val="Bez listy519"/>
    <w:uiPriority w:val="99"/>
  </w:style>
  <w:style w:type="paragraph" w:customStyle="1" w:styleId="Normalny520">
    <w:name w:val="Normalny520"/>
    <w:qFormat/>
    <w:pPr>
      <w:spacing w:after="200"/>
    </w:pPr>
  </w:style>
  <w:style w:type="character" w:customStyle="1" w:styleId="Domylnaczcionkaakapitu520">
    <w:name w:val="Domyślna czcionka akapitu520"/>
    <w:uiPriority w:val="1"/>
  </w:style>
  <w:style w:type="table" w:customStyle="1" w:styleId="Standardowy520">
    <w:name w:val="Standardowy520"/>
    <w:uiPriority w:val="99"/>
    <w:tblPr>
      <w:tblInd w:w="0" w:type="dxa"/>
      <w:tblCellMar>
        <w:top w:w="0" w:type="dxa"/>
        <w:left w:w="108" w:type="dxa"/>
        <w:bottom w:w="0" w:type="dxa"/>
        <w:right w:w="108" w:type="dxa"/>
      </w:tblCellMar>
    </w:tblPr>
  </w:style>
  <w:style w:type="numbering" w:customStyle="1" w:styleId="Bezlisty520">
    <w:name w:val="Bez listy520"/>
    <w:uiPriority w:val="99"/>
  </w:style>
  <w:style w:type="paragraph" w:customStyle="1" w:styleId="Normalny521">
    <w:name w:val="Normalny521"/>
    <w:qFormat/>
    <w:pPr>
      <w:spacing w:after="200"/>
    </w:pPr>
  </w:style>
  <w:style w:type="character" w:customStyle="1" w:styleId="Domylnaczcionkaakapitu521">
    <w:name w:val="Domyślna czcionka akapitu521"/>
    <w:uiPriority w:val="1"/>
  </w:style>
  <w:style w:type="table" w:customStyle="1" w:styleId="Standardowy521">
    <w:name w:val="Standardowy521"/>
    <w:uiPriority w:val="99"/>
    <w:tblPr>
      <w:tblInd w:w="0" w:type="dxa"/>
      <w:tblCellMar>
        <w:top w:w="0" w:type="dxa"/>
        <w:left w:w="108" w:type="dxa"/>
        <w:bottom w:w="0" w:type="dxa"/>
        <w:right w:w="108" w:type="dxa"/>
      </w:tblCellMar>
    </w:tblPr>
  </w:style>
  <w:style w:type="numbering" w:customStyle="1" w:styleId="Bezlisty521">
    <w:name w:val="Bez listy521"/>
    <w:uiPriority w:val="99"/>
  </w:style>
  <w:style w:type="paragraph" w:customStyle="1" w:styleId="Normalny522">
    <w:name w:val="Normalny522"/>
    <w:qFormat/>
    <w:pPr>
      <w:spacing w:after="200"/>
    </w:pPr>
  </w:style>
  <w:style w:type="character" w:customStyle="1" w:styleId="Domylnaczcionkaakapitu522">
    <w:name w:val="Domyślna czcionka akapitu522"/>
    <w:uiPriority w:val="1"/>
  </w:style>
  <w:style w:type="table" w:customStyle="1" w:styleId="Standardowy522">
    <w:name w:val="Standardowy522"/>
    <w:uiPriority w:val="99"/>
    <w:tblPr>
      <w:tblInd w:w="0" w:type="dxa"/>
      <w:tblCellMar>
        <w:top w:w="0" w:type="dxa"/>
        <w:left w:w="108" w:type="dxa"/>
        <w:bottom w:w="0" w:type="dxa"/>
        <w:right w:w="108" w:type="dxa"/>
      </w:tblCellMar>
    </w:tblPr>
  </w:style>
  <w:style w:type="numbering" w:customStyle="1" w:styleId="Bezlisty522">
    <w:name w:val="Bez listy522"/>
    <w:uiPriority w:val="99"/>
  </w:style>
  <w:style w:type="paragraph" w:customStyle="1" w:styleId="Normalny523">
    <w:name w:val="Normalny523"/>
    <w:qFormat/>
    <w:pPr>
      <w:spacing w:after="200"/>
    </w:pPr>
  </w:style>
  <w:style w:type="character" w:customStyle="1" w:styleId="Domylnaczcionkaakapitu523">
    <w:name w:val="Domyślna czcionka akapitu523"/>
    <w:uiPriority w:val="1"/>
  </w:style>
  <w:style w:type="table" w:customStyle="1" w:styleId="Standardowy523">
    <w:name w:val="Standardowy523"/>
    <w:uiPriority w:val="99"/>
    <w:tblPr>
      <w:tblInd w:w="0" w:type="dxa"/>
      <w:tblCellMar>
        <w:top w:w="0" w:type="dxa"/>
        <w:left w:w="108" w:type="dxa"/>
        <w:bottom w:w="0" w:type="dxa"/>
        <w:right w:w="108" w:type="dxa"/>
      </w:tblCellMar>
    </w:tblPr>
  </w:style>
  <w:style w:type="numbering" w:customStyle="1" w:styleId="Bezlisty523">
    <w:name w:val="Bez listy523"/>
    <w:uiPriority w:val="99"/>
  </w:style>
  <w:style w:type="paragraph" w:customStyle="1" w:styleId="Normalny524">
    <w:name w:val="Normalny524"/>
    <w:qFormat/>
    <w:pPr>
      <w:spacing w:after="200"/>
    </w:pPr>
  </w:style>
  <w:style w:type="character" w:customStyle="1" w:styleId="Domylnaczcionkaakapitu524">
    <w:name w:val="Domyślna czcionka akapitu524"/>
    <w:uiPriority w:val="1"/>
  </w:style>
  <w:style w:type="table" w:customStyle="1" w:styleId="Standardowy524">
    <w:name w:val="Standardowy524"/>
    <w:uiPriority w:val="99"/>
    <w:tblPr>
      <w:tblInd w:w="0" w:type="dxa"/>
      <w:tblCellMar>
        <w:top w:w="0" w:type="dxa"/>
        <w:left w:w="108" w:type="dxa"/>
        <w:bottom w:w="0" w:type="dxa"/>
        <w:right w:w="108" w:type="dxa"/>
      </w:tblCellMar>
    </w:tblPr>
  </w:style>
  <w:style w:type="numbering" w:customStyle="1" w:styleId="Bezlisty524">
    <w:name w:val="Bez listy524"/>
    <w:uiPriority w:val="99"/>
  </w:style>
  <w:style w:type="paragraph" w:customStyle="1" w:styleId="Normalny525">
    <w:name w:val="Normalny525"/>
    <w:qFormat/>
    <w:pPr>
      <w:spacing w:after="200"/>
    </w:pPr>
  </w:style>
  <w:style w:type="character" w:customStyle="1" w:styleId="Domylnaczcionkaakapitu525">
    <w:name w:val="Domyślna czcionka akapitu525"/>
    <w:uiPriority w:val="1"/>
  </w:style>
  <w:style w:type="table" w:customStyle="1" w:styleId="Standardowy525">
    <w:name w:val="Standardowy525"/>
    <w:uiPriority w:val="99"/>
    <w:tblPr>
      <w:tblInd w:w="0" w:type="dxa"/>
      <w:tblCellMar>
        <w:top w:w="0" w:type="dxa"/>
        <w:left w:w="108" w:type="dxa"/>
        <w:bottom w:w="0" w:type="dxa"/>
        <w:right w:w="108" w:type="dxa"/>
      </w:tblCellMar>
    </w:tblPr>
  </w:style>
  <w:style w:type="numbering" w:customStyle="1" w:styleId="Bezlisty525">
    <w:name w:val="Bez listy525"/>
    <w:uiPriority w:val="99"/>
  </w:style>
  <w:style w:type="paragraph" w:customStyle="1" w:styleId="Normalny526">
    <w:name w:val="Normalny526"/>
    <w:qFormat/>
    <w:pPr>
      <w:spacing w:after="200"/>
    </w:pPr>
  </w:style>
  <w:style w:type="character" w:customStyle="1" w:styleId="Domylnaczcionkaakapitu526">
    <w:name w:val="Domyślna czcionka akapitu526"/>
    <w:uiPriority w:val="1"/>
  </w:style>
  <w:style w:type="table" w:customStyle="1" w:styleId="Standardowy526">
    <w:name w:val="Standardowy526"/>
    <w:uiPriority w:val="99"/>
    <w:tblPr>
      <w:tblInd w:w="0" w:type="dxa"/>
      <w:tblCellMar>
        <w:top w:w="0" w:type="dxa"/>
        <w:left w:w="108" w:type="dxa"/>
        <w:bottom w:w="0" w:type="dxa"/>
        <w:right w:w="108" w:type="dxa"/>
      </w:tblCellMar>
    </w:tblPr>
  </w:style>
  <w:style w:type="numbering" w:customStyle="1" w:styleId="Bezlisty526">
    <w:name w:val="Bez listy526"/>
    <w:uiPriority w:val="99"/>
  </w:style>
  <w:style w:type="paragraph" w:customStyle="1" w:styleId="Normalny527">
    <w:name w:val="Normalny527"/>
    <w:qFormat/>
    <w:pPr>
      <w:spacing w:after="200"/>
    </w:pPr>
  </w:style>
  <w:style w:type="character" w:customStyle="1" w:styleId="Domylnaczcionkaakapitu527">
    <w:name w:val="Domyślna czcionka akapitu527"/>
    <w:uiPriority w:val="1"/>
  </w:style>
  <w:style w:type="table" w:customStyle="1" w:styleId="Standardowy527">
    <w:name w:val="Standardowy527"/>
    <w:uiPriority w:val="99"/>
    <w:tblPr>
      <w:tblInd w:w="0" w:type="dxa"/>
      <w:tblCellMar>
        <w:top w:w="0" w:type="dxa"/>
        <w:left w:w="108" w:type="dxa"/>
        <w:bottom w:w="0" w:type="dxa"/>
        <w:right w:w="108" w:type="dxa"/>
      </w:tblCellMar>
    </w:tblPr>
  </w:style>
  <w:style w:type="numbering" w:customStyle="1" w:styleId="Bezlisty527">
    <w:name w:val="Bez listy527"/>
    <w:uiPriority w:val="99"/>
  </w:style>
  <w:style w:type="paragraph" w:customStyle="1" w:styleId="Normalny528">
    <w:name w:val="Normalny528"/>
    <w:qFormat/>
    <w:pPr>
      <w:spacing w:after="200"/>
    </w:pPr>
  </w:style>
  <w:style w:type="character" w:customStyle="1" w:styleId="Domylnaczcionkaakapitu528">
    <w:name w:val="Domyślna czcionka akapitu528"/>
    <w:uiPriority w:val="1"/>
  </w:style>
  <w:style w:type="table" w:customStyle="1" w:styleId="Standardowy528">
    <w:name w:val="Standardowy528"/>
    <w:uiPriority w:val="99"/>
    <w:tblPr>
      <w:tblInd w:w="0" w:type="dxa"/>
      <w:tblCellMar>
        <w:top w:w="0" w:type="dxa"/>
        <w:left w:w="108" w:type="dxa"/>
        <w:bottom w:w="0" w:type="dxa"/>
        <w:right w:w="108" w:type="dxa"/>
      </w:tblCellMar>
    </w:tblPr>
  </w:style>
  <w:style w:type="numbering" w:customStyle="1" w:styleId="Bezlisty528">
    <w:name w:val="Bez listy528"/>
    <w:uiPriority w:val="99"/>
  </w:style>
  <w:style w:type="paragraph" w:customStyle="1" w:styleId="Normalny529">
    <w:name w:val="Normalny529"/>
    <w:qFormat/>
    <w:pPr>
      <w:spacing w:after="200"/>
    </w:pPr>
  </w:style>
  <w:style w:type="character" w:customStyle="1" w:styleId="Domylnaczcionkaakapitu529">
    <w:name w:val="Domyślna czcionka akapitu529"/>
    <w:uiPriority w:val="1"/>
  </w:style>
  <w:style w:type="table" w:customStyle="1" w:styleId="Standardowy529">
    <w:name w:val="Standardowy529"/>
    <w:uiPriority w:val="99"/>
    <w:tblPr>
      <w:tblInd w:w="0" w:type="dxa"/>
      <w:tblCellMar>
        <w:top w:w="0" w:type="dxa"/>
        <w:left w:w="108" w:type="dxa"/>
        <w:bottom w:w="0" w:type="dxa"/>
        <w:right w:w="108" w:type="dxa"/>
      </w:tblCellMar>
    </w:tblPr>
  </w:style>
  <w:style w:type="numbering" w:customStyle="1" w:styleId="Bezlisty529">
    <w:name w:val="Bez listy529"/>
    <w:uiPriority w:val="99"/>
  </w:style>
  <w:style w:type="paragraph" w:customStyle="1" w:styleId="Normalny530">
    <w:name w:val="Normalny530"/>
    <w:qFormat/>
    <w:pPr>
      <w:spacing w:after="200"/>
    </w:pPr>
  </w:style>
  <w:style w:type="character" w:customStyle="1" w:styleId="Domylnaczcionkaakapitu530">
    <w:name w:val="Domyślna czcionka akapitu530"/>
    <w:uiPriority w:val="1"/>
  </w:style>
  <w:style w:type="table" w:customStyle="1" w:styleId="Standardowy530">
    <w:name w:val="Standardowy530"/>
    <w:uiPriority w:val="99"/>
    <w:tblPr>
      <w:tblInd w:w="0" w:type="dxa"/>
      <w:tblCellMar>
        <w:top w:w="0" w:type="dxa"/>
        <w:left w:w="108" w:type="dxa"/>
        <w:bottom w:w="0" w:type="dxa"/>
        <w:right w:w="108" w:type="dxa"/>
      </w:tblCellMar>
    </w:tblPr>
  </w:style>
  <w:style w:type="numbering" w:customStyle="1" w:styleId="Bezlisty530">
    <w:name w:val="Bez listy530"/>
    <w:uiPriority w:val="99"/>
  </w:style>
  <w:style w:type="paragraph" w:customStyle="1" w:styleId="Normalny531">
    <w:name w:val="Normalny531"/>
    <w:qFormat/>
    <w:pPr>
      <w:spacing w:after="200"/>
    </w:pPr>
  </w:style>
  <w:style w:type="character" w:customStyle="1" w:styleId="Domylnaczcionkaakapitu531">
    <w:name w:val="Domyślna czcionka akapitu531"/>
    <w:uiPriority w:val="1"/>
  </w:style>
  <w:style w:type="table" w:customStyle="1" w:styleId="Standardowy531">
    <w:name w:val="Standardowy531"/>
    <w:uiPriority w:val="99"/>
    <w:tblPr>
      <w:tblInd w:w="0" w:type="dxa"/>
      <w:tblCellMar>
        <w:top w:w="0" w:type="dxa"/>
        <w:left w:w="108" w:type="dxa"/>
        <w:bottom w:w="0" w:type="dxa"/>
        <w:right w:w="108" w:type="dxa"/>
      </w:tblCellMar>
    </w:tblPr>
  </w:style>
  <w:style w:type="numbering" w:customStyle="1" w:styleId="Bezlisty531">
    <w:name w:val="Bez listy531"/>
    <w:uiPriority w:val="99"/>
  </w:style>
  <w:style w:type="paragraph" w:customStyle="1" w:styleId="Normalny532">
    <w:name w:val="Normalny532"/>
    <w:qFormat/>
    <w:pPr>
      <w:spacing w:after="200"/>
    </w:pPr>
  </w:style>
  <w:style w:type="character" w:customStyle="1" w:styleId="Domylnaczcionkaakapitu532">
    <w:name w:val="Domyślna czcionka akapitu532"/>
    <w:uiPriority w:val="1"/>
  </w:style>
  <w:style w:type="table" w:customStyle="1" w:styleId="Standardowy532">
    <w:name w:val="Standardowy532"/>
    <w:uiPriority w:val="99"/>
    <w:tblPr>
      <w:tblInd w:w="0" w:type="dxa"/>
      <w:tblCellMar>
        <w:top w:w="0" w:type="dxa"/>
        <w:left w:w="108" w:type="dxa"/>
        <w:bottom w:w="0" w:type="dxa"/>
        <w:right w:w="108" w:type="dxa"/>
      </w:tblCellMar>
    </w:tblPr>
  </w:style>
  <w:style w:type="numbering" w:customStyle="1" w:styleId="Bezlisty532">
    <w:name w:val="Bez listy532"/>
    <w:uiPriority w:val="99"/>
  </w:style>
  <w:style w:type="paragraph" w:customStyle="1" w:styleId="Normalny533">
    <w:name w:val="Normalny533"/>
    <w:qFormat/>
    <w:pPr>
      <w:spacing w:after="200"/>
    </w:pPr>
  </w:style>
  <w:style w:type="character" w:customStyle="1" w:styleId="Domylnaczcionkaakapitu533">
    <w:name w:val="Domyślna czcionka akapitu533"/>
    <w:uiPriority w:val="1"/>
  </w:style>
  <w:style w:type="table" w:customStyle="1" w:styleId="Standardowy533">
    <w:name w:val="Standardowy533"/>
    <w:uiPriority w:val="99"/>
    <w:tblPr>
      <w:tblInd w:w="0" w:type="dxa"/>
      <w:tblCellMar>
        <w:top w:w="0" w:type="dxa"/>
        <w:left w:w="108" w:type="dxa"/>
        <w:bottom w:w="0" w:type="dxa"/>
        <w:right w:w="108" w:type="dxa"/>
      </w:tblCellMar>
    </w:tblPr>
  </w:style>
  <w:style w:type="numbering" w:customStyle="1" w:styleId="Bezlisty533">
    <w:name w:val="Bez listy533"/>
    <w:uiPriority w:val="99"/>
  </w:style>
  <w:style w:type="paragraph" w:customStyle="1" w:styleId="Normalny534">
    <w:name w:val="Normalny534"/>
    <w:qFormat/>
    <w:pPr>
      <w:spacing w:after="200"/>
    </w:pPr>
  </w:style>
  <w:style w:type="character" w:customStyle="1" w:styleId="Domylnaczcionkaakapitu534">
    <w:name w:val="Domyślna czcionka akapitu534"/>
    <w:uiPriority w:val="1"/>
  </w:style>
  <w:style w:type="table" w:customStyle="1" w:styleId="Standardowy534">
    <w:name w:val="Standardowy534"/>
    <w:uiPriority w:val="99"/>
    <w:tblPr>
      <w:tblInd w:w="0" w:type="dxa"/>
      <w:tblCellMar>
        <w:top w:w="0" w:type="dxa"/>
        <w:left w:w="108" w:type="dxa"/>
        <w:bottom w:w="0" w:type="dxa"/>
        <w:right w:w="108" w:type="dxa"/>
      </w:tblCellMar>
    </w:tblPr>
  </w:style>
  <w:style w:type="numbering" w:customStyle="1" w:styleId="Bezlisty534">
    <w:name w:val="Bez listy534"/>
    <w:uiPriority w:val="99"/>
  </w:style>
  <w:style w:type="paragraph" w:customStyle="1" w:styleId="Normalny535">
    <w:name w:val="Normalny535"/>
    <w:qFormat/>
    <w:pPr>
      <w:spacing w:after="200"/>
    </w:pPr>
  </w:style>
  <w:style w:type="character" w:customStyle="1" w:styleId="Domylnaczcionkaakapitu535">
    <w:name w:val="Domyślna czcionka akapitu535"/>
    <w:uiPriority w:val="1"/>
  </w:style>
  <w:style w:type="table" w:customStyle="1" w:styleId="Standardowy535">
    <w:name w:val="Standardowy535"/>
    <w:uiPriority w:val="99"/>
    <w:tblPr>
      <w:tblInd w:w="0" w:type="dxa"/>
      <w:tblCellMar>
        <w:top w:w="0" w:type="dxa"/>
        <w:left w:w="108" w:type="dxa"/>
        <w:bottom w:w="0" w:type="dxa"/>
        <w:right w:w="108" w:type="dxa"/>
      </w:tblCellMar>
    </w:tblPr>
  </w:style>
  <w:style w:type="numbering" w:customStyle="1" w:styleId="Bezlisty535">
    <w:name w:val="Bez listy535"/>
    <w:uiPriority w:val="99"/>
  </w:style>
  <w:style w:type="paragraph" w:customStyle="1" w:styleId="Normalny536">
    <w:name w:val="Normalny536"/>
    <w:qFormat/>
    <w:pPr>
      <w:spacing w:after="200"/>
    </w:pPr>
  </w:style>
  <w:style w:type="character" w:customStyle="1" w:styleId="Domylnaczcionkaakapitu536">
    <w:name w:val="Domyślna czcionka akapitu536"/>
    <w:uiPriority w:val="1"/>
  </w:style>
  <w:style w:type="table" w:customStyle="1" w:styleId="Standardowy536">
    <w:name w:val="Standardowy536"/>
    <w:uiPriority w:val="99"/>
    <w:tblPr>
      <w:tblInd w:w="0" w:type="dxa"/>
      <w:tblCellMar>
        <w:top w:w="0" w:type="dxa"/>
        <w:left w:w="108" w:type="dxa"/>
        <w:bottom w:w="0" w:type="dxa"/>
        <w:right w:w="108" w:type="dxa"/>
      </w:tblCellMar>
    </w:tblPr>
  </w:style>
  <w:style w:type="numbering" w:customStyle="1" w:styleId="Bezlisty536">
    <w:name w:val="Bez listy536"/>
    <w:uiPriority w:val="99"/>
  </w:style>
  <w:style w:type="paragraph" w:customStyle="1" w:styleId="Normalny537">
    <w:name w:val="Normalny537"/>
    <w:qFormat/>
    <w:pPr>
      <w:spacing w:after="200"/>
    </w:pPr>
  </w:style>
  <w:style w:type="character" w:customStyle="1" w:styleId="Domylnaczcionkaakapitu537">
    <w:name w:val="Domyślna czcionka akapitu537"/>
    <w:uiPriority w:val="1"/>
  </w:style>
  <w:style w:type="table" w:customStyle="1" w:styleId="Standardowy537">
    <w:name w:val="Standardowy537"/>
    <w:uiPriority w:val="99"/>
    <w:tblPr>
      <w:tblInd w:w="0" w:type="dxa"/>
      <w:tblCellMar>
        <w:top w:w="0" w:type="dxa"/>
        <w:left w:w="108" w:type="dxa"/>
        <w:bottom w:w="0" w:type="dxa"/>
        <w:right w:w="108" w:type="dxa"/>
      </w:tblCellMar>
    </w:tblPr>
  </w:style>
  <w:style w:type="numbering" w:customStyle="1" w:styleId="Bezlisty537">
    <w:name w:val="Bez listy537"/>
    <w:uiPriority w:val="99"/>
  </w:style>
  <w:style w:type="paragraph" w:customStyle="1" w:styleId="Normalny538">
    <w:name w:val="Normalny538"/>
    <w:qFormat/>
    <w:pPr>
      <w:spacing w:after="200"/>
    </w:pPr>
  </w:style>
  <w:style w:type="character" w:customStyle="1" w:styleId="Domylnaczcionkaakapitu538">
    <w:name w:val="Domyślna czcionka akapitu538"/>
    <w:uiPriority w:val="1"/>
  </w:style>
  <w:style w:type="table" w:customStyle="1" w:styleId="Standardowy538">
    <w:name w:val="Standardowy538"/>
    <w:uiPriority w:val="99"/>
    <w:tblPr>
      <w:tblInd w:w="0" w:type="dxa"/>
      <w:tblCellMar>
        <w:top w:w="0" w:type="dxa"/>
        <w:left w:w="108" w:type="dxa"/>
        <w:bottom w:w="0" w:type="dxa"/>
        <w:right w:w="108" w:type="dxa"/>
      </w:tblCellMar>
    </w:tblPr>
  </w:style>
  <w:style w:type="numbering" w:customStyle="1" w:styleId="Bezlisty538">
    <w:name w:val="Bez listy538"/>
    <w:uiPriority w:val="99"/>
  </w:style>
  <w:style w:type="paragraph" w:customStyle="1" w:styleId="Normalny539">
    <w:name w:val="Normalny539"/>
    <w:qFormat/>
    <w:pPr>
      <w:spacing w:after="200"/>
    </w:pPr>
  </w:style>
  <w:style w:type="character" w:customStyle="1" w:styleId="Domylnaczcionkaakapitu539">
    <w:name w:val="Domyślna czcionka akapitu539"/>
    <w:uiPriority w:val="1"/>
  </w:style>
  <w:style w:type="table" w:customStyle="1" w:styleId="Standardowy539">
    <w:name w:val="Standardowy539"/>
    <w:uiPriority w:val="99"/>
    <w:tblPr>
      <w:tblInd w:w="0" w:type="dxa"/>
      <w:tblCellMar>
        <w:top w:w="0" w:type="dxa"/>
        <w:left w:w="108" w:type="dxa"/>
        <w:bottom w:w="0" w:type="dxa"/>
        <w:right w:w="108" w:type="dxa"/>
      </w:tblCellMar>
    </w:tblPr>
  </w:style>
  <w:style w:type="numbering" w:customStyle="1" w:styleId="Bezlisty539">
    <w:name w:val="Bez listy539"/>
    <w:uiPriority w:val="99"/>
  </w:style>
  <w:style w:type="paragraph" w:customStyle="1" w:styleId="Normalny540">
    <w:name w:val="Normalny540"/>
    <w:qFormat/>
    <w:pPr>
      <w:spacing w:after="200"/>
    </w:pPr>
  </w:style>
  <w:style w:type="character" w:customStyle="1" w:styleId="Domylnaczcionkaakapitu540">
    <w:name w:val="Domyślna czcionka akapitu540"/>
    <w:uiPriority w:val="1"/>
  </w:style>
  <w:style w:type="table" w:customStyle="1" w:styleId="Standardowy540">
    <w:name w:val="Standardowy540"/>
    <w:uiPriority w:val="99"/>
    <w:tblPr>
      <w:tblInd w:w="0" w:type="dxa"/>
      <w:tblCellMar>
        <w:top w:w="0" w:type="dxa"/>
        <w:left w:w="108" w:type="dxa"/>
        <w:bottom w:w="0" w:type="dxa"/>
        <w:right w:w="108" w:type="dxa"/>
      </w:tblCellMar>
    </w:tblPr>
  </w:style>
  <w:style w:type="numbering" w:customStyle="1" w:styleId="Bezlisty540">
    <w:name w:val="Bez listy540"/>
    <w:uiPriority w:val="99"/>
  </w:style>
  <w:style w:type="paragraph" w:customStyle="1" w:styleId="Normalny541">
    <w:name w:val="Normalny541"/>
    <w:qFormat/>
    <w:pPr>
      <w:spacing w:after="200"/>
    </w:pPr>
  </w:style>
  <w:style w:type="character" w:customStyle="1" w:styleId="Domylnaczcionkaakapitu541">
    <w:name w:val="Domyślna czcionka akapitu541"/>
    <w:uiPriority w:val="1"/>
  </w:style>
  <w:style w:type="table" w:customStyle="1" w:styleId="Standardowy541">
    <w:name w:val="Standardowy541"/>
    <w:uiPriority w:val="99"/>
    <w:tblPr>
      <w:tblInd w:w="0" w:type="dxa"/>
      <w:tblCellMar>
        <w:top w:w="0" w:type="dxa"/>
        <w:left w:w="108" w:type="dxa"/>
        <w:bottom w:w="0" w:type="dxa"/>
        <w:right w:w="108" w:type="dxa"/>
      </w:tblCellMar>
    </w:tblPr>
  </w:style>
  <w:style w:type="numbering" w:customStyle="1" w:styleId="Bezlisty541">
    <w:name w:val="Bez listy541"/>
    <w:uiPriority w:val="99"/>
  </w:style>
  <w:style w:type="paragraph" w:customStyle="1" w:styleId="Normalny542">
    <w:name w:val="Normalny542"/>
    <w:qFormat/>
    <w:pPr>
      <w:spacing w:after="200"/>
    </w:pPr>
  </w:style>
  <w:style w:type="character" w:customStyle="1" w:styleId="Domylnaczcionkaakapitu542">
    <w:name w:val="Domyślna czcionka akapitu542"/>
    <w:uiPriority w:val="1"/>
  </w:style>
  <w:style w:type="table" w:customStyle="1" w:styleId="Standardowy542">
    <w:name w:val="Standardowy542"/>
    <w:uiPriority w:val="99"/>
    <w:tblPr>
      <w:tblInd w:w="0" w:type="dxa"/>
      <w:tblCellMar>
        <w:top w:w="0" w:type="dxa"/>
        <w:left w:w="108" w:type="dxa"/>
        <w:bottom w:w="0" w:type="dxa"/>
        <w:right w:w="108" w:type="dxa"/>
      </w:tblCellMar>
    </w:tblPr>
  </w:style>
  <w:style w:type="numbering" w:customStyle="1" w:styleId="Bezlisty542">
    <w:name w:val="Bez listy542"/>
    <w:uiPriority w:val="99"/>
  </w:style>
  <w:style w:type="paragraph" w:customStyle="1" w:styleId="Normalny543">
    <w:name w:val="Normalny543"/>
    <w:qFormat/>
    <w:pPr>
      <w:spacing w:after="200"/>
    </w:pPr>
  </w:style>
  <w:style w:type="character" w:customStyle="1" w:styleId="Domylnaczcionkaakapitu543">
    <w:name w:val="Domyślna czcionka akapitu543"/>
    <w:uiPriority w:val="1"/>
  </w:style>
  <w:style w:type="table" w:customStyle="1" w:styleId="Standardowy543">
    <w:name w:val="Standardowy543"/>
    <w:uiPriority w:val="99"/>
    <w:tblPr>
      <w:tblInd w:w="0" w:type="dxa"/>
      <w:tblCellMar>
        <w:top w:w="0" w:type="dxa"/>
        <w:left w:w="108" w:type="dxa"/>
        <w:bottom w:w="0" w:type="dxa"/>
        <w:right w:w="108" w:type="dxa"/>
      </w:tblCellMar>
    </w:tblPr>
  </w:style>
  <w:style w:type="numbering" w:customStyle="1" w:styleId="Bezlisty543">
    <w:name w:val="Bez listy543"/>
    <w:uiPriority w:val="99"/>
  </w:style>
  <w:style w:type="paragraph" w:customStyle="1" w:styleId="Normalny544">
    <w:name w:val="Normalny544"/>
    <w:qFormat/>
    <w:pPr>
      <w:spacing w:after="200"/>
    </w:pPr>
  </w:style>
  <w:style w:type="character" w:customStyle="1" w:styleId="Domylnaczcionkaakapitu544">
    <w:name w:val="Domyślna czcionka akapitu544"/>
    <w:uiPriority w:val="1"/>
  </w:style>
  <w:style w:type="table" w:customStyle="1" w:styleId="Standardowy544">
    <w:name w:val="Standardowy544"/>
    <w:uiPriority w:val="99"/>
    <w:tblPr>
      <w:tblInd w:w="0" w:type="dxa"/>
      <w:tblCellMar>
        <w:top w:w="0" w:type="dxa"/>
        <w:left w:w="108" w:type="dxa"/>
        <w:bottom w:w="0" w:type="dxa"/>
        <w:right w:w="108" w:type="dxa"/>
      </w:tblCellMar>
    </w:tblPr>
  </w:style>
  <w:style w:type="numbering" w:customStyle="1" w:styleId="Bezlisty544">
    <w:name w:val="Bez listy544"/>
    <w:uiPriority w:val="99"/>
  </w:style>
  <w:style w:type="paragraph" w:customStyle="1" w:styleId="Normalny545">
    <w:name w:val="Normalny545"/>
    <w:qFormat/>
    <w:pPr>
      <w:spacing w:after="200"/>
    </w:pPr>
  </w:style>
  <w:style w:type="character" w:customStyle="1" w:styleId="Domylnaczcionkaakapitu545">
    <w:name w:val="Domyślna czcionka akapitu545"/>
    <w:uiPriority w:val="1"/>
  </w:style>
  <w:style w:type="table" w:customStyle="1" w:styleId="Standardowy545">
    <w:name w:val="Standardowy545"/>
    <w:uiPriority w:val="99"/>
    <w:tblPr>
      <w:tblInd w:w="0" w:type="dxa"/>
      <w:tblCellMar>
        <w:top w:w="0" w:type="dxa"/>
        <w:left w:w="108" w:type="dxa"/>
        <w:bottom w:w="0" w:type="dxa"/>
        <w:right w:w="108" w:type="dxa"/>
      </w:tblCellMar>
    </w:tblPr>
  </w:style>
  <w:style w:type="numbering" w:customStyle="1" w:styleId="Bezlisty545">
    <w:name w:val="Bez listy545"/>
    <w:uiPriority w:val="99"/>
  </w:style>
  <w:style w:type="paragraph" w:customStyle="1" w:styleId="Normalny546">
    <w:name w:val="Normalny546"/>
    <w:qFormat/>
    <w:pPr>
      <w:spacing w:after="200"/>
    </w:pPr>
  </w:style>
  <w:style w:type="character" w:customStyle="1" w:styleId="Domylnaczcionkaakapitu546">
    <w:name w:val="Domyślna czcionka akapitu546"/>
    <w:uiPriority w:val="1"/>
  </w:style>
  <w:style w:type="table" w:customStyle="1" w:styleId="Standardowy546">
    <w:name w:val="Standardowy546"/>
    <w:uiPriority w:val="99"/>
    <w:tblPr>
      <w:tblInd w:w="0" w:type="dxa"/>
      <w:tblCellMar>
        <w:top w:w="0" w:type="dxa"/>
        <w:left w:w="108" w:type="dxa"/>
        <w:bottom w:w="0" w:type="dxa"/>
        <w:right w:w="108" w:type="dxa"/>
      </w:tblCellMar>
    </w:tblPr>
  </w:style>
  <w:style w:type="numbering" w:customStyle="1" w:styleId="Bezlisty546">
    <w:name w:val="Bez listy546"/>
    <w:uiPriority w:val="99"/>
  </w:style>
  <w:style w:type="paragraph" w:customStyle="1" w:styleId="Normalny547">
    <w:name w:val="Normalny547"/>
    <w:qFormat/>
    <w:pPr>
      <w:spacing w:after="200"/>
    </w:pPr>
  </w:style>
  <w:style w:type="character" w:customStyle="1" w:styleId="Domylnaczcionkaakapitu547">
    <w:name w:val="Domyślna czcionka akapitu547"/>
    <w:uiPriority w:val="1"/>
  </w:style>
  <w:style w:type="table" w:customStyle="1" w:styleId="Standardowy547">
    <w:name w:val="Standardowy547"/>
    <w:uiPriority w:val="99"/>
    <w:tblPr>
      <w:tblInd w:w="0" w:type="dxa"/>
      <w:tblCellMar>
        <w:top w:w="0" w:type="dxa"/>
        <w:left w:w="108" w:type="dxa"/>
        <w:bottom w:w="0" w:type="dxa"/>
        <w:right w:w="108" w:type="dxa"/>
      </w:tblCellMar>
    </w:tblPr>
  </w:style>
  <w:style w:type="numbering" w:customStyle="1" w:styleId="Bezlisty547">
    <w:name w:val="Bez listy547"/>
    <w:uiPriority w:val="99"/>
  </w:style>
  <w:style w:type="paragraph" w:customStyle="1" w:styleId="Normalny548">
    <w:name w:val="Normalny548"/>
    <w:qFormat/>
    <w:pPr>
      <w:spacing w:after="200"/>
    </w:pPr>
  </w:style>
  <w:style w:type="character" w:customStyle="1" w:styleId="Domylnaczcionkaakapitu548">
    <w:name w:val="Domyślna czcionka akapitu548"/>
    <w:uiPriority w:val="1"/>
  </w:style>
  <w:style w:type="table" w:customStyle="1" w:styleId="Standardowy548">
    <w:name w:val="Standardowy548"/>
    <w:uiPriority w:val="99"/>
    <w:tblPr>
      <w:tblInd w:w="0" w:type="dxa"/>
      <w:tblCellMar>
        <w:top w:w="0" w:type="dxa"/>
        <w:left w:w="108" w:type="dxa"/>
        <w:bottom w:w="0" w:type="dxa"/>
        <w:right w:w="108" w:type="dxa"/>
      </w:tblCellMar>
    </w:tblPr>
  </w:style>
  <w:style w:type="numbering" w:customStyle="1" w:styleId="Bezlisty548">
    <w:name w:val="Bez listy548"/>
    <w:uiPriority w:val="99"/>
  </w:style>
  <w:style w:type="paragraph" w:customStyle="1" w:styleId="Normalny549">
    <w:name w:val="Normalny549"/>
    <w:qFormat/>
    <w:pPr>
      <w:spacing w:after="200"/>
    </w:pPr>
  </w:style>
  <w:style w:type="character" w:customStyle="1" w:styleId="Domylnaczcionkaakapitu549">
    <w:name w:val="Domyślna czcionka akapitu549"/>
    <w:uiPriority w:val="1"/>
  </w:style>
  <w:style w:type="table" w:customStyle="1" w:styleId="Standardowy549">
    <w:name w:val="Standardowy549"/>
    <w:uiPriority w:val="99"/>
    <w:tblPr>
      <w:tblInd w:w="0" w:type="dxa"/>
      <w:tblCellMar>
        <w:top w:w="0" w:type="dxa"/>
        <w:left w:w="108" w:type="dxa"/>
        <w:bottom w:w="0" w:type="dxa"/>
        <w:right w:w="108" w:type="dxa"/>
      </w:tblCellMar>
    </w:tblPr>
  </w:style>
  <w:style w:type="numbering" w:customStyle="1" w:styleId="Bezlisty549">
    <w:name w:val="Bez listy549"/>
    <w:uiPriority w:val="99"/>
  </w:style>
  <w:style w:type="paragraph" w:customStyle="1" w:styleId="Normalny550">
    <w:name w:val="Normalny550"/>
    <w:qFormat/>
    <w:pPr>
      <w:spacing w:after="200"/>
    </w:pPr>
  </w:style>
  <w:style w:type="character" w:customStyle="1" w:styleId="Domylnaczcionkaakapitu550">
    <w:name w:val="Domyślna czcionka akapitu550"/>
    <w:uiPriority w:val="1"/>
  </w:style>
  <w:style w:type="table" w:customStyle="1" w:styleId="Standardowy550">
    <w:name w:val="Standardowy550"/>
    <w:uiPriority w:val="99"/>
    <w:tblPr>
      <w:tblInd w:w="0" w:type="dxa"/>
      <w:tblCellMar>
        <w:top w:w="0" w:type="dxa"/>
        <w:left w:w="108" w:type="dxa"/>
        <w:bottom w:w="0" w:type="dxa"/>
        <w:right w:w="108" w:type="dxa"/>
      </w:tblCellMar>
    </w:tblPr>
  </w:style>
  <w:style w:type="numbering" w:customStyle="1" w:styleId="Bezlisty550">
    <w:name w:val="Bez listy550"/>
    <w:uiPriority w:val="99"/>
  </w:style>
  <w:style w:type="paragraph" w:customStyle="1" w:styleId="Normalny551">
    <w:name w:val="Normalny551"/>
    <w:qFormat/>
    <w:pPr>
      <w:spacing w:after="200"/>
    </w:pPr>
  </w:style>
  <w:style w:type="character" w:customStyle="1" w:styleId="Domylnaczcionkaakapitu551">
    <w:name w:val="Domyślna czcionka akapitu551"/>
    <w:uiPriority w:val="1"/>
  </w:style>
  <w:style w:type="table" w:customStyle="1" w:styleId="Standardowy551">
    <w:name w:val="Standardowy551"/>
    <w:uiPriority w:val="99"/>
    <w:tblPr>
      <w:tblInd w:w="0" w:type="dxa"/>
      <w:tblCellMar>
        <w:top w:w="0" w:type="dxa"/>
        <w:left w:w="108" w:type="dxa"/>
        <w:bottom w:w="0" w:type="dxa"/>
        <w:right w:w="108" w:type="dxa"/>
      </w:tblCellMar>
    </w:tblPr>
  </w:style>
  <w:style w:type="numbering" w:customStyle="1" w:styleId="Bezlisty551">
    <w:name w:val="Bez listy551"/>
    <w:uiPriority w:val="99"/>
  </w:style>
  <w:style w:type="paragraph" w:customStyle="1" w:styleId="Normalny552">
    <w:name w:val="Normalny552"/>
    <w:qFormat/>
    <w:pPr>
      <w:spacing w:after="200"/>
    </w:pPr>
  </w:style>
  <w:style w:type="character" w:customStyle="1" w:styleId="Domylnaczcionkaakapitu552">
    <w:name w:val="Domyślna czcionka akapitu552"/>
    <w:uiPriority w:val="1"/>
  </w:style>
  <w:style w:type="table" w:customStyle="1" w:styleId="Standardowy552">
    <w:name w:val="Standardowy552"/>
    <w:uiPriority w:val="99"/>
    <w:tblPr>
      <w:tblInd w:w="0" w:type="dxa"/>
      <w:tblCellMar>
        <w:top w:w="0" w:type="dxa"/>
        <w:left w:w="108" w:type="dxa"/>
        <w:bottom w:w="0" w:type="dxa"/>
        <w:right w:w="108" w:type="dxa"/>
      </w:tblCellMar>
    </w:tblPr>
  </w:style>
  <w:style w:type="numbering" w:customStyle="1" w:styleId="Bezlisty552">
    <w:name w:val="Bez listy552"/>
    <w:uiPriority w:val="99"/>
  </w:style>
  <w:style w:type="paragraph" w:customStyle="1" w:styleId="Normalny553">
    <w:name w:val="Normalny553"/>
    <w:qFormat/>
    <w:pPr>
      <w:spacing w:after="200"/>
    </w:pPr>
  </w:style>
  <w:style w:type="character" w:customStyle="1" w:styleId="Domylnaczcionkaakapitu553">
    <w:name w:val="Domyślna czcionka akapitu553"/>
    <w:uiPriority w:val="1"/>
  </w:style>
  <w:style w:type="table" w:customStyle="1" w:styleId="Standardowy553">
    <w:name w:val="Standardowy553"/>
    <w:uiPriority w:val="99"/>
    <w:tblPr>
      <w:tblInd w:w="0" w:type="dxa"/>
      <w:tblCellMar>
        <w:top w:w="0" w:type="dxa"/>
        <w:left w:w="108" w:type="dxa"/>
        <w:bottom w:w="0" w:type="dxa"/>
        <w:right w:w="108" w:type="dxa"/>
      </w:tblCellMar>
    </w:tblPr>
  </w:style>
  <w:style w:type="numbering" w:customStyle="1" w:styleId="Bezlisty553">
    <w:name w:val="Bez listy553"/>
    <w:uiPriority w:val="99"/>
  </w:style>
  <w:style w:type="paragraph" w:customStyle="1" w:styleId="Normalny554">
    <w:name w:val="Normalny554"/>
    <w:qFormat/>
    <w:pPr>
      <w:spacing w:after="200"/>
    </w:pPr>
  </w:style>
  <w:style w:type="character" w:customStyle="1" w:styleId="Domylnaczcionkaakapitu554">
    <w:name w:val="Domyślna czcionka akapitu554"/>
    <w:uiPriority w:val="1"/>
  </w:style>
  <w:style w:type="table" w:customStyle="1" w:styleId="Standardowy554">
    <w:name w:val="Standardowy554"/>
    <w:uiPriority w:val="99"/>
    <w:tblPr>
      <w:tblInd w:w="0" w:type="dxa"/>
      <w:tblCellMar>
        <w:top w:w="0" w:type="dxa"/>
        <w:left w:w="108" w:type="dxa"/>
        <w:bottom w:w="0" w:type="dxa"/>
        <w:right w:w="108" w:type="dxa"/>
      </w:tblCellMar>
    </w:tblPr>
  </w:style>
  <w:style w:type="numbering" w:customStyle="1" w:styleId="Bezlisty554">
    <w:name w:val="Bez listy554"/>
    <w:uiPriority w:val="99"/>
  </w:style>
  <w:style w:type="paragraph" w:customStyle="1" w:styleId="Normalny555">
    <w:name w:val="Normalny555"/>
    <w:qFormat/>
    <w:pPr>
      <w:spacing w:after="200"/>
    </w:pPr>
  </w:style>
  <w:style w:type="character" w:customStyle="1" w:styleId="Domylnaczcionkaakapitu555">
    <w:name w:val="Domyślna czcionka akapitu555"/>
    <w:uiPriority w:val="1"/>
  </w:style>
  <w:style w:type="table" w:customStyle="1" w:styleId="Standardowy555">
    <w:name w:val="Standardowy555"/>
    <w:uiPriority w:val="99"/>
    <w:tblPr>
      <w:tblInd w:w="0" w:type="dxa"/>
      <w:tblCellMar>
        <w:top w:w="0" w:type="dxa"/>
        <w:left w:w="108" w:type="dxa"/>
        <w:bottom w:w="0" w:type="dxa"/>
        <w:right w:w="108" w:type="dxa"/>
      </w:tblCellMar>
    </w:tblPr>
  </w:style>
  <w:style w:type="numbering" w:customStyle="1" w:styleId="Bezlisty555">
    <w:name w:val="Bez listy555"/>
    <w:uiPriority w:val="99"/>
  </w:style>
  <w:style w:type="paragraph" w:customStyle="1" w:styleId="Normalny556">
    <w:name w:val="Normalny556"/>
    <w:qFormat/>
    <w:pPr>
      <w:spacing w:after="200"/>
    </w:pPr>
  </w:style>
  <w:style w:type="character" w:customStyle="1" w:styleId="Domylnaczcionkaakapitu556">
    <w:name w:val="Domyślna czcionka akapitu556"/>
    <w:uiPriority w:val="1"/>
  </w:style>
  <w:style w:type="table" w:customStyle="1" w:styleId="Standardowy556">
    <w:name w:val="Standardowy556"/>
    <w:uiPriority w:val="99"/>
    <w:tblPr>
      <w:tblInd w:w="0" w:type="dxa"/>
      <w:tblCellMar>
        <w:top w:w="0" w:type="dxa"/>
        <w:left w:w="108" w:type="dxa"/>
        <w:bottom w:w="0" w:type="dxa"/>
        <w:right w:w="108" w:type="dxa"/>
      </w:tblCellMar>
    </w:tblPr>
  </w:style>
  <w:style w:type="numbering" w:customStyle="1" w:styleId="Bezlisty556">
    <w:name w:val="Bez listy556"/>
    <w:uiPriority w:val="99"/>
  </w:style>
  <w:style w:type="paragraph" w:customStyle="1" w:styleId="Normalny557">
    <w:name w:val="Normalny557"/>
    <w:qFormat/>
    <w:pPr>
      <w:spacing w:after="200"/>
    </w:pPr>
  </w:style>
  <w:style w:type="character" w:customStyle="1" w:styleId="Domylnaczcionkaakapitu557">
    <w:name w:val="Domyślna czcionka akapitu557"/>
    <w:uiPriority w:val="1"/>
  </w:style>
  <w:style w:type="table" w:customStyle="1" w:styleId="Standardowy557">
    <w:name w:val="Standardowy557"/>
    <w:uiPriority w:val="99"/>
    <w:tblPr>
      <w:tblInd w:w="0" w:type="dxa"/>
      <w:tblCellMar>
        <w:top w:w="0" w:type="dxa"/>
        <w:left w:w="108" w:type="dxa"/>
        <w:bottom w:w="0" w:type="dxa"/>
        <w:right w:w="108" w:type="dxa"/>
      </w:tblCellMar>
    </w:tblPr>
  </w:style>
  <w:style w:type="numbering" w:customStyle="1" w:styleId="Bezlisty557">
    <w:name w:val="Bez listy557"/>
    <w:uiPriority w:val="99"/>
  </w:style>
  <w:style w:type="paragraph" w:customStyle="1" w:styleId="Normalny558">
    <w:name w:val="Normalny558"/>
    <w:qFormat/>
    <w:pPr>
      <w:spacing w:after="200"/>
    </w:pPr>
  </w:style>
  <w:style w:type="character" w:customStyle="1" w:styleId="Domylnaczcionkaakapitu558">
    <w:name w:val="Domyślna czcionka akapitu558"/>
    <w:uiPriority w:val="1"/>
  </w:style>
  <w:style w:type="table" w:customStyle="1" w:styleId="Standardowy558">
    <w:name w:val="Standardowy558"/>
    <w:uiPriority w:val="99"/>
    <w:tblPr>
      <w:tblInd w:w="0" w:type="dxa"/>
      <w:tblCellMar>
        <w:top w:w="0" w:type="dxa"/>
        <w:left w:w="108" w:type="dxa"/>
        <w:bottom w:w="0" w:type="dxa"/>
        <w:right w:w="108" w:type="dxa"/>
      </w:tblCellMar>
    </w:tblPr>
  </w:style>
  <w:style w:type="numbering" w:customStyle="1" w:styleId="Bezlisty558">
    <w:name w:val="Bez listy558"/>
    <w:uiPriority w:val="99"/>
  </w:style>
  <w:style w:type="paragraph" w:customStyle="1" w:styleId="Normalny559">
    <w:name w:val="Normalny559"/>
    <w:qFormat/>
    <w:pPr>
      <w:spacing w:after="200"/>
    </w:pPr>
  </w:style>
  <w:style w:type="character" w:customStyle="1" w:styleId="Domylnaczcionkaakapitu559">
    <w:name w:val="Domyślna czcionka akapitu559"/>
    <w:uiPriority w:val="1"/>
  </w:style>
  <w:style w:type="table" w:customStyle="1" w:styleId="Standardowy559">
    <w:name w:val="Standardowy559"/>
    <w:uiPriority w:val="99"/>
    <w:tblPr>
      <w:tblInd w:w="0" w:type="dxa"/>
      <w:tblCellMar>
        <w:top w:w="0" w:type="dxa"/>
        <w:left w:w="108" w:type="dxa"/>
        <w:bottom w:w="0" w:type="dxa"/>
        <w:right w:w="108" w:type="dxa"/>
      </w:tblCellMar>
    </w:tblPr>
  </w:style>
  <w:style w:type="numbering" w:customStyle="1" w:styleId="Bezlisty559">
    <w:name w:val="Bez listy559"/>
    <w:uiPriority w:val="99"/>
  </w:style>
  <w:style w:type="paragraph" w:customStyle="1" w:styleId="Normalny560">
    <w:name w:val="Normalny560"/>
    <w:qFormat/>
    <w:pPr>
      <w:spacing w:after="200"/>
    </w:pPr>
  </w:style>
  <w:style w:type="character" w:customStyle="1" w:styleId="Domylnaczcionkaakapitu560">
    <w:name w:val="Domyślna czcionka akapitu560"/>
    <w:uiPriority w:val="1"/>
  </w:style>
  <w:style w:type="table" w:customStyle="1" w:styleId="Standardowy560">
    <w:name w:val="Standardowy560"/>
    <w:uiPriority w:val="99"/>
    <w:tblPr>
      <w:tblInd w:w="0" w:type="dxa"/>
      <w:tblCellMar>
        <w:top w:w="0" w:type="dxa"/>
        <w:left w:w="108" w:type="dxa"/>
        <w:bottom w:w="0" w:type="dxa"/>
        <w:right w:w="108" w:type="dxa"/>
      </w:tblCellMar>
    </w:tblPr>
  </w:style>
  <w:style w:type="numbering" w:customStyle="1" w:styleId="Bezlisty560">
    <w:name w:val="Bez listy560"/>
    <w:uiPriority w:val="99"/>
  </w:style>
  <w:style w:type="paragraph" w:customStyle="1" w:styleId="Normalny561">
    <w:name w:val="Normalny561"/>
    <w:qFormat/>
    <w:pPr>
      <w:spacing w:after="200"/>
    </w:pPr>
  </w:style>
  <w:style w:type="character" w:customStyle="1" w:styleId="Domylnaczcionkaakapitu561">
    <w:name w:val="Domyślna czcionka akapitu561"/>
    <w:uiPriority w:val="1"/>
  </w:style>
  <w:style w:type="table" w:customStyle="1" w:styleId="Standardowy561">
    <w:name w:val="Standardowy561"/>
    <w:uiPriority w:val="99"/>
    <w:tblPr>
      <w:tblInd w:w="0" w:type="dxa"/>
      <w:tblCellMar>
        <w:top w:w="0" w:type="dxa"/>
        <w:left w:w="108" w:type="dxa"/>
        <w:bottom w:w="0" w:type="dxa"/>
        <w:right w:w="108" w:type="dxa"/>
      </w:tblCellMar>
    </w:tblPr>
  </w:style>
  <w:style w:type="numbering" w:customStyle="1" w:styleId="Bezlisty561">
    <w:name w:val="Bez listy561"/>
    <w:uiPriority w:val="99"/>
  </w:style>
  <w:style w:type="paragraph" w:customStyle="1" w:styleId="Normalny562">
    <w:name w:val="Normalny562"/>
    <w:qFormat/>
    <w:pPr>
      <w:spacing w:after="200"/>
    </w:pPr>
  </w:style>
  <w:style w:type="character" w:customStyle="1" w:styleId="Domylnaczcionkaakapitu562">
    <w:name w:val="Domyślna czcionka akapitu562"/>
    <w:uiPriority w:val="1"/>
  </w:style>
  <w:style w:type="table" w:customStyle="1" w:styleId="Standardowy562">
    <w:name w:val="Standardowy562"/>
    <w:uiPriority w:val="99"/>
    <w:tblPr>
      <w:tblInd w:w="0" w:type="dxa"/>
      <w:tblCellMar>
        <w:top w:w="0" w:type="dxa"/>
        <w:left w:w="108" w:type="dxa"/>
        <w:bottom w:w="0" w:type="dxa"/>
        <w:right w:w="108" w:type="dxa"/>
      </w:tblCellMar>
    </w:tblPr>
  </w:style>
  <w:style w:type="numbering" w:customStyle="1" w:styleId="Bezlisty562">
    <w:name w:val="Bez listy562"/>
    <w:uiPriority w:val="99"/>
  </w:style>
  <w:style w:type="paragraph" w:customStyle="1" w:styleId="Normalny563">
    <w:name w:val="Normalny563"/>
    <w:qFormat/>
    <w:pPr>
      <w:spacing w:after="200"/>
    </w:pPr>
  </w:style>
  <w:style w:type="character" w:customStyle="1" w:styleId="Domylnaczcionkaakapitu563">
    <w:name w:val="Domyślna czcionka akapitu563"/>
    <w:uiPriority w:val="1"/>
  </w:style>
  <w:style w:type="table" w:customStyle="1" w:styleId="Standardowy563">
    <w:name w:val="Standardowy563"/>
    <w:uiPriority w:val="99"/>
    <w:tblPr>
      <w:tblInd w:w="0" w:type="dxa"/>
      <w:tblCellMar>
        <w:top w:w="0" w:type="dxa"/>
        <w:left w:w="108" w:type="dxa"/>
        <w:bottom w:w="0" w:type="dxa"/>
        <w:right w:w="108" w:type="dxa"/>
      </w:tblCellMar>
    </w:tblPr>
  </w:style>
  <w:style w:type="numbering" w:customStyle="1" w:styleId="Bezlisty563">
    <w:name w:val="Bez listy563"/>
    <w:uiPriority w:val="99"/>
  </w:style>
  <w:style w:type="paragraph" w:customStyle="1" w:styleId="Normalny564">
    <w:name w:val="Normalny564"/>
    <w:qFormat/>
    <w:pPr>
      <w:spacing w:after="200"/>
    </w:pPr>
  </w:style>
  <w:style w:type="character" w:customStyle="1" w:styleId="Domylnaczcionkaakapitu564">
    <w:name w:val="Domyślna czcionka akapitu564"/>
    <w:uiPriority w:val="1"/>
  </w:style>
  <w:style w:type="table" w:customStyle="1" w:styleId="Standardowy564">
    <w:name w:val="Standardowy564"/>
    <w:uiPriority w:val="99"/>
    <w:tblPr>
      <w:tblInd w:w="0" w:type="dxa"/>
      <w:tblCellMar>
        <w:top w:w="0" w:type="dxa"/>
        <w:left w:w="108" w:type="dxa"/>
        <w:bottom w:w="0" w:type="dxa"/>
        <w:right w:w="108" w:type="dxa"/>
      </w:tblCellMar>
    </w:tblPr>
  </w:style>
  <w:style w:type="numbering" w:customStyle="1" w:styleId="Bezlisty564">
    <w:name w:val="Bez listy564"/>
    <w:uiPriority w:val="99"/>
  </w:style>
  <w:style w:type="paragraph" w:customStyle="1" w:styleId="Normalny565">
    <w:name w:val="Normalny565"/>
    <w:qFormat/>
    <w:pPr>
      <w:spacing w:after="200"/>
    </w:pPr>
  </w:style>
  <w:style w:type="character" w:customStyle="1" w:styleId="Domylnaczcionkaakapitu565">
    <w:name w:val="Domyślna czcionka akapitu565"/>
    <w:uiPriority w:val="1"/>
  </w:style>
  <w:style w:type="table" w:customStyle="1" w:styleId="Standardowy565">
    <w:name w:val="Standardowy565"/>
    <w:uiPriority w:val="99"/>
    <w:tblPr>
      <w:tblInd w:w="0" w:type="dxa"/>
      <w:tblCellMar>
        <w:top w:w="0" w:type="dxa"/>
        <w:left w:w="108" w:type="dxa"/>
        <w:bottom w:w="0" w:type="dxa"/>
        <w:right w:w="108" w:type="dxa"/>
      </w:tblCellMar>
    </w:tblPr>
  </w:style>
  <w:style w:type="numbering" w:customStyle="1" w:styleId="Bezlisty565">
    <w:name w:val="Bez listy565"/>
    <w:uiPriority w:val="99"/>
  </w:style>
  <w:style w:type="paragraph" w:customStyle="1" w:styleId="Normalny566">
    <w:name w:val="Normalny566"/>
    <w:qFormat/>
    <w:pPr>
      <w:spacing w:after="200"/>
    </w:pPr>
  </w:style>
  <w:style w:type="character" w:customStyle="1" w:styleId="Domylnaczcionkaakapitu566">
    <w:name w:val="Domyślna czcionka akapitu566"/>
    <w:uiPriority w:val="1"/>
  </w:style>
  <w:style w:type="table" w:customStyle="1" w:styleId="Standardowy566">
    <w:name w:val="Standardowy566"/>
    <w:uiPriority w:val="99"/>
    <w:tblPr>
      <w:tblInd w:w="0" w:type="dxa"/>
      <w:tblCellMar>
        <w:top w:w="0" w:type="dxa"/>
        <w:left w:w="108" w:type="dxa"/>
        <w:bottom w:w="0" w:type="dxa"/>
        <w:right w:w="108" w:type="dxa"/>
      </w:tblCellMar>
    </w:tblPr>
  </w:style>
  <w:style w:type="numbering" w:customStyle="1" w:styleId="Bezlisty566">
    <w:name w:val="Bez listy566"/>
    <w:uiPriority w:val="99"/>
  </w:style>
  <w:style w:type="paragraph" w:customStyle="1" w:styleId="Normalny567">
    <w:name w:val="Normalny567"/>
    <w:qFormat/>
    <w:pPr>
      <w:spacing w:after="200"/>
    </w:pPr>
  </w:style>
  <w:style w:type="character" w:customStyle="1" w:styleId="Domylnaczcionkaakapitu567">
    <w:name w:val="Domyślna czcionka akapitu567"/>
    <w:uiPriority w:val="1"/>
  </w:style>
  <w:style w:type="table" w:customStyle="1" w:styleId="Standardowy567">
    <w:name w:val="Standardowy567"/>
    <w:uiPriority w:val="99"/>
    <w:tblPr>
      <w:tblInd w:w="0" w:type="dxa"/>
      <w:tblCellMar>
        <w:top w:w="0" w:type="dxa"/>
        <w:left w:w="108" w:type="dxa"/>
        <w:bottom w:w="0" w:type="dxa"/>
        <w:right w:w="108" w:type="dxa"/>
      </w:tblCellMar>
    </w:tblPr>
  </w:style>
  <w:style w:type="numbering" w:customStyle="1" w:styleId="Bezlisty567">
    <w:name w:val="Bez listy567"/>
    <w:uiPriority w:val="99"/>
  </w:style>
  <w:style w:type="paragraph" w:customStyle="1" w:styleId="Normalny568">
    <w:name w:val="Normalny568"/>
    <w:qFormat/>
    <w:pPr>
      <w:spacing w:after="200"/>
    </w:pPr>
  </w:style>
  <w:style w:type="character" w:customStyle="1" w:styleId="Domylnaczcionkaakapitu568">
    <w:name w:val="Domyślna czcionka akapitu568"/>
    <w:uiPriority w:val="1"/>
  </w:style>
  <w:style w:type="table" w:customStyle="1" w:styleId="Standardowy568">
    <w:name w:val="Standardowy568"/>
    <w:uiPriority w:val="99"/>
    <w:tblPr>
      <w:tblInd w:w="0" w:type="dxa"/>
      <w:tblCellMar>
        <w:top w:w="0" w:type="dxa"/>
        <w:left w:w="108" w:type="dxa"/>
        <w:bottom w:w="0" w:type="dxa"/>
        <w:right w:w="108" w:type="dxa"/>
      </w:tblCellMar>
    </w:tblPr>
  </w:style>
  <w:style w:type="numbering" w:customStyle="1" w:styleId="Bezlisty568">
    <w:name w:val="Bez listy568"/>
    <w:uiPriority w:val="99"/>
  </w:style>
  <w:style w:type="paragraph" w:customStyle="1" w:styleId="Normalny569">
    <w:name w:val="Normalny569"/>
    <w:qFormat/>
    <w:pPr>
      <w:spacing w:after="200"/>
    </w:pPr>
  </w:style>
  <w:style w:type="character" w:customStyle="1" w:styleId="Domylnaczcionkaakapitu569">
    <w:name w:val="Domyślna czcionka akapitu569"/>
    <w:uiPriority w:val="1"/>
  </w:style>
  <w:style w:type="table" w:customStyle="1" w:styleId="Standardowy569">
    <w:name w:val="Standardowy569"/>
    <w:uiPriority w:val="99"/>
    <w:tblPr>
      <w:tblInd w:w="0" w:type="dxa"/>
      <w:tblCellMar>
        <w:top w:w="0" w:type="dxa"/>
        <w:left w:w="108" w:type="dxa"/>
        <w:bottom w:w="0" w:type="dxa"/>
        <w:right w:w="108" w:type="dxa"/>
      </w:tblCellMar>
    </w:tblPr>
  </w:style>
  <w:style w:type="numbering" w:customStyle="1" w:styleId="Bezlisty569">
    <w:name w:val="Bez listy569"/>
    <w:uiPriority w:val="99"/>
  </w:style>
  <w:style w:type="paragraph" w:customStyle="1" w:styleId="Normalny570">
    <w:name w:val="Normalny570"/>
    <w:qFormat/>
    <w:pPr>
      <w:spacing w:after="200"/>
    </w:pPr>
  </w:style>
  <w:style w:type="character" w:customStyle="1" w:styleId="Domylnaczcionkaakapitu570">
    <w:name w:val="Domyślna czcionka akapitu570"/>
    <w:uiPriority w:val="1"/>
  </w:style>
  <w:style w:type="table" w:customStyle="1" w:styleId="Standardowy570">
    <w:name w:val="Standardowy570"/>
    <w:uiPriority w:val="99"/>
    <w:tblPr>
      <w:tblInd w:w="0" w:type="dxa"/>
      <w:tblCellMar>
        <w:top w:w="0" w:type="dxa"/>
        <w:left w:w="108" w:type="dxa"/>
        <w:bottom w:w="0" w:type="dxa"/>
        <w:right w:w="108" w:type="dxa"/>
      </w:tblCellMar>
    </w:tblPr>
  </w:style>
  <w:style w:type="numbering" w:customStyle="1" w:styleId="Bezlisty570">
    <w:name w:val="Bez listy570"/>
    <w:uiPriority w:val="99"/>
  </w:style>
  <w:style w:type="paragraph" w:customStyle="1" w:styleId="Normalny571">
    <w:name w:val="Normalny571"/>
    <w:qFormat/>
    <w:pPr>
      <w:spacing w:after="200"/>
    </w:pPr>
  </w:style>
  <w:style w:type="character" w:customStyle="1" w:styleId="Domylnaczcionkaakapitu571">
    <w:name w:val="Domyślna czcionka akapitu571"/>
    <w:uiPriority w:val="1"/>
  </w:style>
  <w:style w:type="table" w:customStyle="1" w:styleId="Standardowy571">
    <w:name w:val="Standardowy571"/>
    <w:uiPriority w:val="99"/>
    <w:tblPr>
      <w:tblInd w:w="0" w:type="dxa"/>
      <w:tblCellMar>
        <w:top w:w="0" w:type="dxa"/>
        <w:left w:w="108" w:type="dxa"/>
        <w:bottom w:w="0" w:type="dxa"/>
        <w:right w:w="108" w:type="dxa"/>
      </w:tblCellMar>
    </w:tblPr>
  </w:style>
  <w:style w:type="numbering" w:customStyle="1" w:styleId="Bezlisty571">
    <w:name w:val="Bez listy571"/>
    <w:uiPriority w:val="99"/>
  </w:style>
  <w:style w:type="paragraph" w:customStyle="1" w:styleId="Normalny572">
    <w:name w:val="Normalny572"/>
    <w:qFormat/>
    <w:pPr>
      <w:spacing w:after="200"/>
    </w:pPr>
  </w:style>
  <w:style w:type="character" w:customStyle="1" w:styleId="Domylnaczcionkaakapitu572">
    <w:name w:val="Domyślna czcionka akapitu572"/>
    <w:uiPriority w:val="1"/>
  </w:style>
  <w:style w:type="table" w:customStyle="1" w:styleId="Standardowy572">
    <w:name w:val="Standardowy572"/>
    <w:uiPriority w:val="99"/>
    <w:tblPr>
      <w:tblInd w:w="0" w:type="dxa"/>
      <w:tblCellMar>
        <w:top w:w="0" w:type="dxa"/>
        <w:left w:w="108" w:type="dxa"/>
        <w:bottom w:w="0" w:type="dxa"/>
        <w:right w:w="108" w:type="dxa"/>
      </w:tblCellMar>
    </w:tblPr>
  </w:style>
  <w:style w:type="numbering" w:customStyle="1" w:styleId="Bezlisty572">
    <w:name w:val="Bez listy572"/>
    <w:uiPriority w:val="99"/>
  </w:style>
  <w:style w:type="paragraph" w:customStyle="1" w:styleId="Normalny573">
    <w:name w:val="Normalny573"/>
    <w:qFormat/>
    <w:pPr>
      <w:spacing w:after="200"/>
    </w:pPr>
  </w:style>
  <w:style w:type="character" w:customStyle="1" w:styleId="Domylnaczcionkaakapitu573">
    <w:name w:val="Domyślna czcionka akapitu573"/>
    <w:uiPriority w:val="1"/>
  </w:style>
  <w:style w:type="table" w:customStyle="1" w:styleId="Standardowy573">
    <w:name w:val="Standardowy573"/>
    <w:uiPriority w:val="99"/>
    <w:tblPr>
      <w:tblInd w:w="0" w:type="dxa"/>
      <w:tblCellMar>
        <w:top w:w="0" w:type="dxa"/>
        <w:left w:w="108" w:type="dxa"/>
        <w:bottom w:w="0" w:type="dxa"/>
        <w:right w:w="108" w:type="dxa"/>
      </w:tblCellMar>
    </w:tblPr>
  </w:style>
  <w:style w:type="numbering" w:customStyle="1" w:styleId="Bezlisty573">
    <w:name w:val="Bez listy573"/>
    <w:uiPriority w:val="99"/>
  </w:style>
  <w:style w:type="paragraph" w:customStyle="1" w:styleId="Normalny574">
    <w:name w:val="Normalny574"/>
    <w:qFormat/>
    <w:pPr>
      <w:spacing w:after="200"/>
    </w:pPr>
  </w:style>
  <w:style w:type="character" w:customStyle="1" w:styleId="Domylnaczcionkaakapitu574">
    <w:name w:val="Domyślna czcionka akapitu574"/>
    <w:uiPriority w:val="1"/>
  </w:style>
  <w:style w:type="table" w:customStyle="1" w:styleId="Standardowy574">
    <w:name w:val="Standardowy574"/>
    <w:uiPriority w:val="99"/>
    <w:tblPr>
      <w:tblInd w:w="0" w:type="dxa"/>
      <w:tblCellMar>
        <w:top w:w="0" w:type="dxa"/>
        <w:left w:w="108" w:type="dxa"/>
        <w:bottom w:w="0" w:type="dxa"/>
        <w:right w:w="108" w:type="dxa"/>
      </w:tblCellMar>
    </w:tblPr>
  </w:style>
  <w:style w:type="numbering" w:customStyle="1" w:styleId="Bezlisty574">
    <w:name w:val="Bez listy574"/>
    <w:uiPriority w:val="99"/>
  </w:style>
  <w:style w:type="paragraph" w:customStyle="1" w:styleId="Normalny575">
    <w:name w:val="Normalny575"/>
    <w:qFormat/>
    <w:pPr>
      <w:spacing w:after="200"/>
    </w:pPr>
  </w:style>
  <w:style w:type="character" w:customStyle="1" w:styleId="Domylnaczcionkaakapitu575">
    <w:name w:val="Domyślna czcionka akapitu575"/>
    <w:uiPriority w:val="1"/>
  </w:style>
  <w:style w:type="table" w:customStyle="1" w:styleId="Standardowy575">
    <w:name w:val="Standardowy575"/>
    <w:uiPriority w:val="99"/>
    <w:tblPr>
      <w:tblInd w:w="0" w:type="dxa"/>
      <w:tblCellMar>
        <w:top w:w="0" w:type="dxa"/>
        <w:left w:w="108" w:type="dxa"/>
        <w:bottom w:w="0" w:type="dxa"/>
        <w:right w:w="108" w:type="dxa"/>
      </w:tblCellMar>
    </w:tblPr>
  </w:style>
  <w:style w:type="numbering" w:customStyle="1" w:styleId="Bezlisty575">
    <w:name w:val="Bez listy575"/>
    <w:uiPriority w:val="99"/>
  </w:style>
  <w:style w:type="paragraph" w:customStyle="1" w:styleId="Normalny576">
    <w:name w:val="Normalny576"/>
    <w:qFormat/>
    <w:pPr>
      <w:spacing w:after="200"/>
    </w:pPr>
  </w:style>
  <w:style w:type="character" w:customStyle="1" w:styleId="Domylnaczcionkaakapitu576">
    <w:name w:val="Domyślna czcionka akapitu576"/>
    <w:uiPriority w:val="1"/>
  </w:style>
  <w:style w:type="table" w:customStyle="1" w:styleId="Standardowy576">
    <w:name w:val="Standardowy576"/>
    <w:uiPriority w:val="99"/>
    <w:tblPr>
      <w:tblInd w:w="0" w:type="dxa"/>
      <w:tblCellMar>
        <w:top w:w="0" w:type="dxa"/>
        <w:left w:w="108" w:type="dxa"/>
        <w:bottom w:w="0" w:type="dxa"/>
        <w:right w:w="108" w:type="dxa"/>
      </w:tblCellMar>
    </w:tblPr>
  </w:style>
  <w:style w:type="numbering" w:customStyle="1" w:styleId="Bezlisty576">
    <w:name w:val="Bez listy576"/>
    <w:uiPriority w:val="99"/>
  </w:style>
  <w:style w:type="paragraph" w:customStyle="1" w:styleId="Normalny577">
    <w:name w:val="Normalny577"/>
    <w:qFormat/>
    <w:pPr>
      <w:spacing w:after="200"/>
    </w:pPr>
  </w:style>
  <w:style w:type="character" w:customStyle="1" w:styleId="Domylnaczcionkaakapitu577">
    <w:name w:val="Domyślna czcionka akapitu577"/>
    <w:uiPriority w:val="1"/>
  </w:style>
  <w:style w:type="table" w:customStyle="1" w:styleId="Standardowy577">
    <w:name w:val="Standardowy577"/>
    <w:uiPriority w:val="99"/>
    <w:tblPr>
      <w:tblInd w:w="0" w:type="dxa"/>
      <w:tblCellMar>
        <w:top w:w="0" w:type="dxa"/>
        <w:left w:w="108" w:type="dxa"/>
        <w:bottom w:w="0" w:type="dxa"/>
        <w:right w:w="108" w:type="dxa"/>
      </w:tblCellMar>
    </w:tblPr>
  </w:style>
  <w:style w:type="numbering" w:customStyle="1" w:styleId="Bezlisty577">
    <w:name w:val="Bez listy577"/>
    <w:uiPriority w:val="99"/>
  </w:style>
  <w:style w:type="paragraph" w:customStyle="1" w:styleId="Normalny578">
    <w:name w:val="Normalny578"/>
    <w:qFormat/>
    <w:pPr>
      <w:spacing w:after="200"/>
    </w:pPr>
  </w:style>
  <w:style w:type="character" w:customStyle="1" w:styleId="Domylnaczcionkaakapitu578">
    <w:name w:val="Domyślna czcionka akapitu578"/>
    <w:uiPriority w:val="1"/>
  </w:style>
  <w:style w:type="table" w:customStyle="1" w:styleId="Standardowy578">
    <w:name w:val="Standardowy578"/>
    <w:uiPriority w:val="99"/>
    <w:tblPr>
      <w:tblInd w:w="0" w:type="dxa"/>
      <w:tblCellMar>
        <w:top w:w="0" w:type="dxa"/>
        <w:left w:w="108" w:type="dxa"/>
        <w:bottom w:w="0" w:type="dxa"/>
        <w:right w:w="108" w:type="dxa"/>
      </w:tblCellMar>
    </w:tblPr>
  </w:style>
  <w:style w:type="numbering" w:customStyle="1" w:styleId="Bezlisty578">
    <w:name w:val="Bez listy578"/>
    <w:uiPriority w:val="99"/>
  </w:style>
  <w:style w:type="paragraph" w:customStyle="1" w:styleId="Normalny579">
    <w:name w:val="Normalny579"/>
    <w:qFormat/>
    <w:pPr>
      <w:spacing w:after="200"/>
    </w:pPr>
  </w:style>
  <w:style w:type="character" w:customStyle="1" w:styleId="Domylnaczcionkaakapitu579">
    <w:name w:val="Domyślna czcionka akapitu579"/>
    <w:uiPriority w:val="1"/>
  </w:style>
  <w:style w:type="table" w:customStyle="1" w:styleId="Standardowy579">
    <w:name w:val="Standardowy579"/>
    <w:uiPriority w:val="99"/>
    <w:tblPr>
      <w:tblInd w:w="0" w:type="dxa"/>
      <w:tblCellMar>
        <w:top w:w="0" w:type="dxa"/>
        <w:left w:w="108" w:type="dxa"/>
        <w:bottom w:w="0" w:type="dxa"/>
        <w:right w:w="108" w:type="dxa"/>
      </w:tblCellMar>
    </w:tblPr>
  </w:style>
  <w:style w:type="numbering" w:customStyle="1" w:styleId="Bezlisty579">
    <w:name w:val="Bez listy579"/>
    <w:uiPriority w:val="99"/>
  </w:style>
  <w:style w:type="paragraph" w:customStyle="1" w:styleId="Normalny580">
    <w:name w:val="Normalny580"/>
    <w:qFormat/>
    <w:pPr>
      <w:spacing w:after="200"/>
    </w:pPr>
  </w:style>
  <w:style w:type="character" w:customStyle="1" w:styleId="Domylnaczcionkaakapitu580">
    <w:name w:val="Domyślna czcionka akapitu580"/>
    <w:uiPriority w:val="1"/>
  </w:style>
  <w:style w:type="table" w:customStyle="1" w:styleId="Standardowy580">
    <w:name w:val="Standardowy580"/>
    <w:uiPriority w:val="99"/>
    <w:tblPr>
      <w:tblInd w:w="0" w:type="dxa"/>
      <w:tblCellMar>
        <w:top w:w="0" w:type="dxa"/>
        <w:left w:w="108" w:type="dxa"/>
        <w:bottom w:w="0" w:type="dxa"/>
        <w:right w:w="108" w:type="dxa"/>
      </w:tblCellMar>
    </w:tblPr>
  </w:style>
  <w:style w:type="numbering" w:customStyle="1" w:styleId="Bezlisty580">
    <w:name w:val="Bez listy580"/>
    <w:uiPriority w:val="99"/>
  </w:style>
  <w:style w:type="paragraph" w:customStyle="1" w:styleId="Normalny581">
    <w:name w:val="Normalny581"/>
    <w:qFormat/>
    <w:pPr>
      <w:spacing w:after="200"/>
    </w:pPr>
  </w:style>
  <w:style w:type="character" w:customStyle="1" w:styleId="Domylnaczcionkaakapitu581">
    <w:name w:val="Domyślna czcionka akapitu581"/>
    <w:uiPriority w:val="1"/>
  </w:style>
  <w:style w:type="table" w:customStyle="1" w:styleId="Standardowy581">
    <w:name w:val="Standardowy581"/>
    <w:uiPriority w:val="99"/>
    <w:tblPr>
      <w:tblInd w:w="0" w:type="dxa"/>
      <w:tblCellMar>
        <w:top w:w="0" w:type="dxa"/>
        <w:left w:w="108" w:type="dxa"/>
        <w:bottom w:w="0" w:type="dxa"/>
        <w:right w:w="108" w:type="dxa"/>
      </w:tblCellMar>
    </w:tblPr>
  </w:style>
  <w:style w:type="numbering" w:customStyle="1" w:styleId="Bezlisty581">
    <w:name w:val="Bez listy581"/>
    <w:uiPriority w:val="99"/>
  </w:style>
  <w:style w:type="paragraph" w:customStyle="1" w:styleId="Normalny582">
    <w:name w:val="Normalny582"/>
    <w:qFormat/>
    <w:pPr>
      <w:spacing w:after="200"/>
    </w:pPr>
  </w:style>
  <w:style w:type="character" w:customStyle="1" w:styleId="Domylnaczcionkaakapitu582">
    <w:name w:val="Domyślna czcionka akapitu582"/>
    <w:uiPriority w:val="1"/>
  </w:style>
  <w:style w:type="table" w:customStyle="1" w:styleId="Standardowy582">
    <w:name w:val="Standardowy582"/>
    <w:uiPriority w:val="99"/>
    <w:tblPr>
      <w:tblInd w:w="0" w:type="dxa"/>
      <w:tblCellMar>
        <w:top w:w="0" w:type="dxa"/>
        <w:left w:w="108" w:type="dxa"/>
        <w:bottom w:w="0" w:type="dxa"/>
        <w:right w:w="108" w:type="dxa"/>
      </w:tblCellMar>
    </w:tblPr>
  </w:style>
  <w:style w:type="numbering" w:customStyle="1" w:styleId="Bezlisty582">
    <w:name w:val="Bez listy582"/>
    <w:uiPriority w:val="99"/>
  </w:style>
  <w:style w:type="paragraph" w:customStyle="1" w:styleId="Normalny583">
    <w:name w:val="Normalny583"/>
    <w:qFormat/>
    <w:pPr>
      <w:spacing w:after="200"/>
    </w:pPr>
  </w:style>
  <w:style w:type="character" w:customStyle="1" w:styleId="Domylnaczcionkaakapitu583">
    <w:name w:val="Domyślna czcionka akapitu583"/>
    <w:uiPriority w:val="1"/>
  </w:style>
  <w:style w:type="table" w:customStyle="1" w:styleId="Standardowy583">
    <w:name w:val="Standardowy583"/>
    <w:uiPriority w:val="99"/>
    <w:tblPr>
      <w:tblInd w:w="0" w:type="dxa"/>
      <w:tblCellMar>
        <w:top w:w="0" w:type="dxa"/>
        <w:left w:w="108" w:type="dxa"/>
        <w:bottom w:w="0" w:type="dxa"/>
        <w:right w:w="108" w:type="dxa"/>
      </w:tblCellMar>
    </w:tblPr>
  </w:style>
  <w:style w:type="numbering" w:customStyle="1" w:styleId="Bezlisty583">
    <w:name w:val="Bez listy583"/>
    <w:uiPriority w:val="99"/>
  </w:style>
  <w:style w:type="paragraph" w:customStyle="1" w:styleId="Normalny584">
    <w:name w:val="Normalny584"/>
    <w:qFormat/>
    <w:pPr>
      <w:spacing w:after="200"/>
    </w:pPr>
  </w:style>
  <w:style w:type="character" w:customStyle="1" w:styleId="Domylnaczcionkaakapitu584">
    <w:name w:val="Domyślna czcionka akapitu584"/>
    <w:uiPriority w:val="1"/>
  </w:style>
  <w:style w:type="table" w:customStyle="1" w:styleId="Standardowy584">
    <w:name w:val="Standardowy584"/>
    <w:uiPriority w:val="99"/>
    <w:tblPr>
      <w:tblInd w:w="0" w:type="dxa"/>
      <w:tblCellMar>
        <w:top w:w="0" w:type="dxa"/>
        <w:left w:w="108" w:type="dxa"/>
        <w:bottom w:w="0" w:type="dxa"/>
        <w:right w:w="108" w:type="dxa"/>
      </w:tblCellMar>
    </w:tblPr>
  </w:style>
  <w:style w:type="numbering" w:customStyle="1" w:styleId="Bezlisty584">
    <w:name w:val="Bez listy584"/>
    <w:uiPriority w:val="99"/>
  </w:style>
  <w:style w:type="paragraph" w:customStyle="1" w:styleId="Normalny585">
    <w:name w:val="Normalny585"/>
    <w:qFormat/>
    <w:pPr>
      <w:spacing w:after="200"/>
    </w:pPr>
  </w:style>
  <w:style w:type="character" w:customStyle="1" w:styleId="Domylnaczcionkaakapitu585">
    <w:name w:val="Domyślna czcionka akapitu585"/>
    <w:uiPriority w:val="1"/>
  </w:style>
  <w:style w:type="table" w:customStyle="1" w:styleId="Standardowy585">
    <w:name w:val="Standardowy585"/>
    <w:uiPriority w:val="99"/>
    <w:tblPr>
      <w:tblInd w:w="0" w:type="dxa"/>
      <w:tblCellMar>
        <w:top w:w="0" w:type="dxa"/>
        <w:left w:w="108" w:type="dxa"/>
        <w:bottom w:w="0" w:type="dxa"/>
        <w:right w:w="108" w:type="dxa"/>
      </w:tblCellMar>
    </w:tblPr>
  </w:style>
  <w:style w:type="numbering" w:customStyle="1" w:styleId="Bezlisty585">
    <w:name w:val="Bez listy585"/>
    <w:uiPriority w:val="99"/>
  </w:style>
  <w:style w:type="paragraph" w:customStyle="1" w:styleId="Normalny586">
    <w:name w:val="Normalny586"/>
    <w:qFormat/>
    <w:pPr>
      <w:spacing w:after="200"/>
    </w:pPr>
  </w:style>
  <w:style w:type="character" w:customStyle="1" w:styleId="Domylnaczcionkaakapitu586">
    <w:name w:val="Domyślna czcionka akapitu586"/>
    <w:uiPriority w:val="1"/>
  </w:style>
  <w:style w:type="table" w:customStyle="1" w:styleId="Standardowy586">
    <w:name w:val="Standardowy586"/>
    <w:uiPriority w:val="99"/>
    <w:tblPr>
      <w:tblInd w:w="0" w:type="dxa"/>
      <w:tblCellMar>
        <w:top w:w="0" w:type="dxa"/>
        <w:left w:w="108" w:type="dxa"/>
        <w:bottom w:w="0" w:type="dxa"/>
        <w:right w:w="108" w:type="dxa"/>
      </w:tblCellMar>
    </w:tblPr>
  </w:style>
  <w:style w:type="numbering" w:customStyle="1" w:styleId="Bezlisty586">
    <w:name w:val="Bez listy586"/>
    <w:uiPriority w:val="99"/>
  </w:style>
  <w:style w:type="paragraph" w:customStyle="1" w:styleId="Normalny587">
    <w:name w:val="Normalny587"/>
    <w:qFormat/>
    <w:pPr>
      <w:spacing w:after="200"/>
    </w:pPr>
  </w:style>
  <w:style w:type="character" w:customStyle="1" w:styleId="Domylnaczcionkaakapitu587">
    <w:name w:val="Domyślna czcionka akapitu587"/>
    <w:uiPriority w:val="1"/>
  </w:style>
  <w:style w:type="table" w:customStyle="1" w:styleId="Standardowy587">
    <w:name w:val="Standardowy587"/>
    <w:uiPriority w:val="99"/>
    <w:tblPr>
      <w:tblInd w:w="0" w:type="dxa"/>
      <w:tblCellMar>
        <w:top w:w="0" w:type="dxa"/>
        <w:left w:w="108" w:type="dxa"/>
        <w:bottom w:w="0" w:type="dxa"/>
        <w:right w:w="108" w:type="dxa"/>
      </w:tblCellMar>
    </w:tblPr>
  </w:style>
  <w:style w:type="numbering" w:customStyle="1" w:styleId="Bezlisty587">
    <w:name w:val="Bez listy587"/>
    <w:uiPriority w:val="99"/>
  </w:style>
  <w:style w:type="paragraph" w:customStyle="1" w:styleId="Normalny588">
    <w:name w:val="Normalny588"/>
    <w:qFormat/>
    <w:pPr>
      <w:spacing w:after="200"/>
    </w:pPr>
  </w:style>
  <w:style w:type="character" w:customStyle="1" w:styleId="Domylnaczcionkaakapitu588">
    <w:name w:val="Domyślna czcionka akapitu588"/>
    <w:uiPriority w:val="1"/>
  </w:style>
  <w:style w:type="table" w:customStyle="1" w:styleId="Standardowy588">
    <w:name w:val="Standardowy588"/>
    <w:uiPriority w:val="99"/>
    <w:tblPr>
      <w:tblInd w:w="0" w:type="dxa"/>
      <w:tblCellMar>
        <w:top w:w="0" w:type="dxa"/>
        <w:left w:w="108" w:type="dxa"/>
        <w:bottom w:w="0" w:type="dxa"/>
        <w:right w:w="108" w:type="dxa"/>
      </w:tblCellMar>
    </w:tblPr>
  </w:style>
  <w:style w:type="numbering" w:customStyle="1" w:styleId="Bezlisty588">
    <w:name w:val="Bez listy588"/>
    <w:uiPriority w:val="99"/>
  </w:style>
  <w:style w:type="paragraph" w:customStyle="1" w:styleId="Normalny589">
    <w:name w:val="Normalny589"/>
    <w:qFormat/>
    <w:pPr>
      <w:spacing w:after="200"/>
    </w:pPr>
  </w:style>
  <w:style w:type="character" w:customStyle="1" w:styleId="Domylnaczcionkaakapitu589">
    <w:name w:val="Domyślna czcionka akapitu589"/>
    <w:uiPriority w:val="1"/>
  </w:style>
  <w:style w:type="table" w:customStyle="1" w:styleId="Standardowy589">
    <w:name w:val="Standardowy589"/>
    <w:uiPriority w:val="99"/>
    <w:tblPr>
      <w:tblInd w:w="0" w:type="dxa"/>
      <w:tblCellMar>
        <w:top w:w="0" w:type="dxa"/>
        <w:left w:w="108" w:type="dxa"/>
        <w:bottom w:w="0" w:type="dxa"/>
        <w:right w:w="108" w:type="dxa"/>
      </w:tblCellMar>
    </w:tblPr>
  </w:style>
  <w:style w:type="numbering" w:customStyle="1" w:styleId="Bezlisty589">
    <w:name w:val="Bez listy589"/>
    <w:uiPriority w:val="99"/>
  </w:style>
  <w:style w:type="paragraph" w:customStyle="1" w:styleId="Normalny590">
    <w:name w:val="Normalny590"/>
    <w:qFormat/>
    <w:pPr>
      <w:spacing w:after="200"/>
    </w:pPr>
  </w:style>
  <w:style w:type="character" w:customStyle="1" w:styleId="Domylnaczcionkaakapitu590">
    <w:name w:val="Domyślna czcionka akapitu590"/>
    <w:uiPriority w:val="1"/>
  </w:style>
  <w:style w:type="table" w:customStyle="1" w:styleId="Standardowy590">
    <w:name w:val="Standardowy590"/>
    <w:uiPriority w:val="99"/>
    <w:tblPr>
      <w:tblInd w:w="0" w:type="dxa"/>
      <w:tblCellMar>
        <w:top w:w="0" w:type="dxa"/>
        <w:left w:w="108" w:type="dxa"/>
        <w:bottom w:w="0" w:type="dxa"/>
        <w:right w:w="108" w:type="dxa"/>
      </w:tblCellMar>
    </w:tblPr>
  </w:style>
  <w:style w:type="numbering" w:customStyle="1" w:styleId="Bezlisty590">
    <w:name w:val="Bez listy590"/>
    <w:uiPriority w:val="99"/>
  </w:style>
  <w:style w:type="paragraph" w:customStyle="1" w:styleId="Normalny591">
    <w:name w:val="Normalny591"/>
    <w:qFormat/>
    <w:pPr>
      <w:spacing w:after="200"/>
    </w:pPr>
  </w:style>
  <w:style w:type="character" w:customStyle="1" w:styleId="Domylnaczcionkaakapitu591">
    <w:name w:val="Domyślna czcionka akapitu591"/>
    <w:uiPriority w:val="1"/>
  </w:style>
  <w:style w:type="table" w:customStyle="1" w:styleId="Standardowy591">
    <w:name w:val="Standardowy591"/>
    <w:uiPriority w:val="99"/>
    <w:tblPr>
      <w:tblInd w:w="0" w:type="dxa"/>
      <w:tblCellMar>
        <w:top w:w="0" w:type="dxa"/>
        <w:left w:w="108" w:type="dxa"/>
        <w:bottom w:w="0" w:type="dxa"/>
        <w:right w:w="108" w:type="dxa"/>
      </w:tblCellMar>
    </w:tblPr>
  </w:style>
  <w:style w:type="numbering" w:customStyle="1" w:styleId="Bezlisty591">
    <w:name w:val="Bez listy591"/>
    <w:uiPriority w:val="99"/>
  </w:style>
  <w:style w:type="paragraph" w:customStyle="1" w:styleId="Normalny592">
    <w:name w:val="Normalny592"/>
    <w:qFormat/>
    <w:pPr>
      <w:spacing w:after="200"/>
    </w:pPr>
  </w:style>
  <w:style w:type="character" w:customStyle="1" w:styleId="Domylnaczcionkaakapitu592">
    <w:name w:val="Domyślna czcionka akapitu592"/>
    <w:uiPriority w:val="1"/>
  </w:style>
  <w:style w:type="table" w:customStyle="1" w:styleId="Standardowy592">
    <w:name w:val="Standardowy592"/>
    <w:uiPriority w:val="99"/>
    <w:tblPr>
      <w:tblInd w:w="0" w:type="dxa"/>
      <w:tblCellMar>
        <w:top w:w="0" w:type="dxa"/>
        <w:left w:w="108" w:type="dxa"/>
        <w:bottom w:w="0" w:type="dxa"/>
        <w:right w:w="108" w:type="dxa"/>
      </w:tblCellMar>
    </w:tblPr>
  </w:style>
  <w:style w:type="numbering" w:customStyle="1" w:styleId="Bezlisty592">
    <w:name w:val="Bez listy592"/>
    <w:uiPriority w:val="99"/>
  </w:style>
  <w:style w:type="paragraph" w:customStyle="1" w:styleId="Normalny593">
    <w:name w:val="Normalny593"/>
    <w:qFormat/>
    <w:pPr>
      <w:spacing w:after="200"/>
    </w:pPr>
  </w:style>
  <w:style w:type="character" w:customStyle="1" w:styleId="Domylnaczcionkaakapitu593">
    <w:name w:val="Domyślna czcionka akapitu593"/>
    <w:uiPriority w:val="1"/>
  </w:style>
  <w:style w:type="table" w:customStyle="1" w:styleId="Standardowy593">
    <w:name w:val="Standardowy593"/>
    <w:uiPriority w:val="99"/>
    <w:tblPr>
      <w:tblInd w:w="0" w:type="dxa"/>
      <w:tblCellMar>
        <w:top w:w="0" w:type="dxa"/>
        <w:left w:w="108" w:type="dxa"/>
        <w:bottom w:w="0" w:type="dxa"/>
        <w:right w:w="108" w:type="dxa"/>
      </w:tblCellMar>
    </w:tblPr>
  </w:style>
  <w:style w:type="numbering" w:customStyle="1" w:styleId="Bezlisty593">
    <w:name w:val="Bez listy59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A6DFA3-30A5-465E-91BE-4FB7228B0E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23191</Words>
  <Characters>139150</Characters>
  <Application>Microsoft Office Word</Application>
  <DocSecurity>0</DocSecurity>
  <Lines>1159</Lines>
  <Paragraphs>324</Paragraphs>
  <ScaleCrop>false</ScaleCrop>
  <Company>Urzad Marszalkowski Wojewodztwa Pomorskiego</Company>
  <LinksUpToDate>false</LinksUpToDate>
  <CharactersWithSpaces>162017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4</cp:revision>
  <dcterms:created xsi:type="dcterms:W3CDTF">2023-04-18T10:39:00Z</dcterms:created>
  <dcterms:modified xsi:type="dcterms:W3CDTF">2023-04-19T05:14:00Z</dcterms:modified>
</cp:coreProperties>
</file>