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56972238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D6584B">
        <w:rPr>
          <w:rFonts w:asciiTheme="minorHAnsi" w:hAnsiTheme="minorHAnsi" w:cstheme="minorHAnsi"/>
          <w:sz w:val="22"/>
          <w:szCs w:val="22"/>
        </w:rPr>
        <w:t>5</w:t>
      </w:r>
      <w:r w:rsidR="00DD5B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06795469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8538AF">
        <w:rPr>
          <w:rFonts w:ascii="Calibri" w:hAnsi="Calibri"/>
          <w:sz w:val="22"/>
          <w:szCs w:val="22"/>
        </w:rPr>
        <w:t>9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8538AF" w:rsidRPr="008538AF">
        <w:rPr>
          <w:rFonts w:ascii="Calibri" w:hAnsi="Calibri"/>
          <w:sz w:val="22"/>
          <w:szCs w:val="22"/>
        </w:rPr>
        <w:t>Kształcenie ustawiczne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89A7D0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46486A4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</w:t>
      </w:r>
      <w:r w:rsidRPr="00405486">
        <w:rPr>
          <w:rFonts w:ascii="Calibri" w:hAnsi="Calibri"/>
          <w:sz w:val="22"/>
          <w:szCs w:val="22"/>
        </w:rPr>
        <w:lastRenderedPageBreak/>
        <w:t xml:space="preserve"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 xml:space="preserve">CST2021 lub z rejestrów publicznych, o których mowa w art. 92 ust. 2 ustawy wdrożeniowej 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lastRenderedPageBreak/>
        <w:t>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725D15F1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lastRenderedPageBreak/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DFA4347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8839D4">
        <w:rPr>
          <w:rFonts w:ascii="Calibri" w:hAnsi="Calibri" w:cs="Tahoma"/>
          <w:sz w:val="22"/>
          <w:szCs w:val="22"/>
        </w:rPr>
        <w:t xml:space="preserve">de </w:t>
      </w:r>
      <w:proofErr w:type="spellStart"/>
      <w:r w:rsidR="008839D4"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0B24" w14:textId="77777777" w:rsidR="00021BF6" w:rsidRDefault="00021BF6">
      <w:r>
        <w:separator/>
      </w:r>
    </w:p>
  </w:endnote>
  <w:endnote w:type="continuationSeparator" w:id="0">
    <w:p w14:paraId="6984C32B" w14:textId="77777777" w:rsidR="00021BF6" w:rsidRDefault="000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54B2" w14:textId="77777777" w:rsidR="00021BF6" w:rsidRDefault="00021BF6">
      <w:r>
        <w:separator/>
      </w:r>
    </w:p>
  </w:footnote>
  <w:footnote w:type="continuationSeparator" w:id="0">
    <w:p w14:paraId="293EA242" w14:textId="77777777" w:rsidR="00021BF6" w:rsidRDefault="00021BF6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20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048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F5EBA6-AC9E-47F1-9D6C-305361C21BC5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07E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A71D0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38AF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39D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A67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584B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5BF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EBA6-AC9E-47F1-9D6C-305361C21BC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3A3F84F-0F42-449F-9CB0-99F9BD29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127</TotalTime>
  <Pages>20</Pages>
  <Words>6144</Words>
  <Characters>36869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Rudzik Janusz</cp:lastModifiedBy>
  <cp:revision>45</cp:revision>
  <cp:lastPrinted>2017-12-12T12:43:00Z</cp:lastPrinted>
  <dcterms:created xsi:type="dcterms:W3CDTF">2023-08-04T10:55:00Z</dcterms:created>
  <dcterms:modified xsi:type="dcterms:W3CDTF">2024-05-08T06:18:00Z</dcterms:modified>
</cp:coreProperties>
</file>