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57B9529D" w14:textId="4D83E96D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208DA">
        <w:rPr>
          <w:rFonts w:asciiTheme="minorHAnsi" w:hAnsiTheme="minorHAnsi" w:cstheme="minorHAnsi"/>
          <w:sz w:val="22"/>
          <w:szCs w:val="22"/>
        </w:rPr>
        <w:t>7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5ADD9AAD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A35838">
        <w:rPr>
          <w:rFonts w:ascii="Calibri" w:hAnsi="Calibri"/>
          <w:sz w:val="22"/>
          <w:szCs w:val="22"/>
        </w:rPr>
        <w:t>5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872391">
        <w:rPr>
          <w:rFonts w:ascii="Calibri" w:hAnsi="Calibri"/>
          <w:sz w:val="22"/>
          <w:szCs w:val="22"/>
        </w:rPr>
        <w:t>Aktywn</w:t>
      </w:r>
      <w:r w:rsidR="007510FD">
        <w:rPr>
          <w:rFonts w:ascii="Calibri" w:hAnsi="Calibri"/>
          <w:sz w:val="22"/>
          <w:szCs w:val="22"/>
        </w:rPr>
        <w:t>e i zdrowe starzenie się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286D44BC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lastRenderedPageBreak/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1D1E" w14:textId="77777777" w:rsidR="00FA58B9" w:rsidRDefault="00FA58B9">
      <w:r>
        <w:separator/>
      </w:r>
    </w:p>
  </w:endnote>
  <w:endnote w:type="continuationSeparator" w:id="0">
    <w:p w14:paraId="258BAF9E" w14:textId="77777777" w:rsidR="00FA58B9" w:rsidRDefault="00F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738A" w14:textId="77777777" w:rsidR="00FA58B9" w:rsidRDefault="00FA58B9">
      <w:r>
        <w:separator/>
      </w:r>
    </w:p>
  </w:footnote>
  <w:footnote w:type="continuationSeparator" w:id="0">
    <w:p w14:paraId="64A5B02A" w14:textId="77777777" w:rsidR="00FA58B9" w:rsidRDefault="00FA58B9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A373E1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A373E1">
        <w:rPr>
          <w:rStyle w:val="Odwoanieprzypisudolnego"/>
          <w:rFonts w:ascii="Calibri" w:hAnsi="Calibri"/>
          <w:sz w:val="22"/>
          <w:szCs w:val="22"/>
        </w:rPr>
        <w:footnoteRef/>
      </w:r>
      <w:r w:rsidRPr="00A373E1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A373E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E13D49" w:rsidRPr="00A373E1">
        <w:rPr>
          <w:rFonts w:ascii="Calibri" w:hAnsi="Calibri" w:cs="Calibri"/>
          <w:sz w:val="22"/>
          <w:szCs w:val="22"/>
        </w:rPr>
        <w:t>Dotyczy przypadku rozliczania</w:t>
      </w:r>
      <w:r w:rsidR="00D77570" w:rsidRPr="00A373E1">
        <w:rPr>
          <w:rFonts w:ascii="Calibri" w:hAnsi="Calibri" w:cs="Calibri"/>
          <w:sz w:val="22"/>
          <w:szCs w:val="22"/>
        </w:rPr>
        <w:t xml:space="preserve"> projektu</w:t>
      </w:r>
      <w:r w:rsidR="00E13D49" w:rsidRPr="00A373E1">
        <w:rPr>
          <w:rFonts w:ascii="Calibri" w:hAnsi="Calibri" w:cs="Calibri"/>
          <w:sz w:val="22"/>
          <w:szCs w:val="22"/>
        </w:rPr>
        <w:t xml:space="preserve"> również</w:t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CC069C" w:rsidRPr="00A373E1">
        <w:rPr>
          <w:rFonts w:ascii="Calibri" w:hAnsi="Calibri" w:cs="Calibri"/>
          <w:sz w:val="22"/>
          <w:szCs w:val="22"/>
        </w:rPr>
        <w:t xml:space="preserve">w oparciu o </w:t>
      </w:r>
      <w:r w:rsidRPr="00A373E1">
        <w:rPr>
          <w:rFonts w:ascii="Calibri" w:hAnsi="Calibri" w:cs="Calibri"/>
          <w:sz w:val="22"/>
          <w:szCs w:val="22"/>
        </w:rPr>
        <w:t>staw</w:t>
      </w:r>
      <w:r w:rsidR="00E13D49" w:rsidRPr="00A373E1">
        <w:rPr>
          <w:rFonts w:ascii="Calibri" w:hAnsi="Calibri" w:cs="Calibri"/>
          <w:sz w:val="22"/>
          <w:szCs w:val="22"/>
        </w:rPr>
        <w:t>k</w:t>
      </w:r>
      <w:r w:rsidR="00CC069C" w:rsidRPr="00A373E1">
        <w:rPr>
          <w:rFonts w:ascii="Calibri" w:hAnsi="Calibri" w:cs="Calibri"/>
          <w:sz w:val="22"/>
          <w:szCs w:val="22"/>
        </w:rPr>
        <w:t>i</w:t>
      </w:r>
      <w:r w:rsidRPr="00A373E1">
        <w:rPr>
          <w:rFonts w:ascii="Calibri" w:hAnsi="Calibri" w:cs="Calibri"/>
          <w:sz w:val="22"/>
          <w:szCs w:val="22"/>
        </w:rPr>
        <w:t xml:space="preserve"> jednostkow</w:t>
      </w:r>
      <w:r w:rsidR="00CC069C" w:rsidRPr="00A373E1">
        <w:rPr>
          <w:rFonts w:ascii="Calibri" w:hAnsi="Calibri" w:cs="Calibri"/>
          <w:sz w:val="22"/>
          <w:szCs w:val="22"/>
        </w:rPr>
        <w:t>e</w:t>
      </w:r>
      <w:r w:rsidRPr="00A373E1">
        <w:rPr>
          <w:rFonts w:ascii="Calibri" w:hAnsi="Calibri" w:cs="Calibri"/>
          <w:sz w:val="22"/>
          <w:szCs w:val="22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A373E1">
        <w:rPr>
          <w:rFonts w:ascii="Calibri" w:hAnsi="Calibri"/>
          <w:sz w:val="22"/>
          <w:szCs w:val="22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  <w:r>
        <w:rPr>
          <w:rFonts w:ascii="Calibri" w:hAnsi="Calibri"/>
        </w:rPr>
        <w:t xml:space="preserve">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 w:rsidRPr="00A373E1">
        <w:rPr>
          <w:rFonts w:ascii="Calibri" w:hAnsi="Calibri" w:cs="Calibri"/>
          <w:sz w:val="22"/>
          <w:szCs w:val="22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48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9D8A4D5-0A59-4A06-8161-A37DA47C6FF8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0FD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838"/>
    <w:rsid w:val="00A35CB5"/>
    <w:rsid w:val="00A361F0"/>
    <w:rsid w:val="00A373E1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08DA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CB1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A4D5-0A59-4A06-8161-A37DA47C6FF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220E49-15F6-48A0-9ED6-0E2B6BD4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75</TotalTime>
  <Pages>18</Pages>
  <Words>5208</Words>
  <Characters>34423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Wzór umowy o partnerstwie ryczałt</dc:subject>
  <dc:creator>Twardokus Marcin</dc:creator>
  <cp:keywords>załącznik;regulamin; umowa;partnerstwo;wzór;ryczałt</cp:keywords>
  <dc:description/>
  <cp:lastModifiedBy>Rudzik Janusz</cp:lastModifiedBy>
  <cp:revision>34</cp:revision>
  <cp:lastPrinted>2017-12-12T12:43:00Z</cp:lastPrinted>
  <dcterms:created xsi:type="dcterms:W3CDTF">2023-08-04T10:57:00Z</dcterms:created>
  <dcterms:modified xsi:type="dcterms:W3CDTF">2024-05-31T10:12:00Z</dcterms:modified>
</cp:coreProperties>
</file>