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776" w:rsidRPr="0019634B" w:rsidRDefault="00B62776" w:rsidP="0019634B">
      <w:pPr>
        <w:shd w:val="clear" w:color="auto" w:fill="FFFFFF"/>
        <w:spacing w:after="100" w:afterAutospacing="1" w:line="360" w:lineRule="auto"/>
        <w:outlineLvl w:val="2"/>
        <w:rPr>
          <w:rFonts w:eastAsia="Times New Roman" w:cstheme="minorHAnsi"/>
          <w:color w:val="212529"/>
          <w:lang w:eastAsia="pl-PL"/>
        </w:rPr>
      </w:pPr>
      <w:r w:rsidRPr="0019634B">
        <w:rPr>
          <w:rFonts w:eastAsia="Times New Roman" w:cstheme="minorHAnsi"/>
          <w:color w:val="212529"/>
          <w:lang w:eastAsia="pl-PL"/>
        </w:rPr>
        <w:t>Pytania i odpowiedzi</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color w:val="212529"/>
          <w:lang w:eastAsia="pl-PL"/>
        </w:rPr>
        <w:t>Pytania dotyczące naboru należy kierować najpóźniej do dnia zakończenia naboru wniosków na adres poczty elektronicznej: </w:t>
      </w:r>
      <w:hyperlink r:id="rId9" w:history="1">
        <w:r w:rsidRPr="0019634B">
          <w:rPr>
            <w:rStyle w:val="Hipercze"/>
            <w:rFonts w:eastAsia="Times New Roman" w:cstheme="minorHAnsi"/>
            <w:lang w:eastAsia="pl-PL"/>
          </w:rPr>
          <w:t>zatrudnienie.efs@pomorskie.eu</w:t>
        </w:r>
      </w:hyperlink>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UWAGA!!!</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Każde pytanie ze strony wnioskodawcy jest rozpatrywane indywidualnie przez IZ FEP.</w:t>
      </w:r>
    </w:p>
    <w:p w:rsidR="00B62776" w:rsidRPr="0019634B" w:rsidRDefault="00B62776" w:rsidP="0019634B">
      <w:pPr>
        <w:shd w:val="clear" w:color="auto" w:fill="FFFFFF"/>
        <w:spacing w:after="100" w:afterAutospacing="1" w:line="360" w:lineRule="auto"/>
        <w:rPr>
          <w:rFonts w:eastAsia="Times New Roman" w:cstheme="minorHAnsi"/>
          <w:b/>
          <w:bCs/>
          <w:color w:val="212529"/>
          <w:lang w:eastAsia="pl-PL"/>
        </w:rPr>
      </w:pPr>
      <w:r w:rsidRPr="0019634B">
        <w:rPr>
          <w:rFonts w:eastAsia="Times New Roman" w:cstheme="minorHAnsi"/>
          <w:b/>
          <w:bCs/>
          <w:color w:val="212529"/>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FA3A9D" w:rsidRPr="0019634B" w:rsidRDefault="00625671" w:rsidP="0019634B">
      <w:pPr>
        <w:shd w:val="clear" w:color="auto" w:fill="FFFFFF"/>
        <w:spacing w:after="100" w:afterAutospacing="1" w:line="360" w:lineRule="auto"/>
        <w:rPr>
          <w:rFonts w:eastAsia="Times New Roman" w:cstheme="minorHAnsi"/>
          <w:b/>
          <w:bCs/>
          <w:color w:val="4472C4" w:themeColor="accent1"/>
          <w:lang w:eastAsia="pl-PL"/>
        </w:rPr>
      </w:pPr>
      <w:r w:rsidRPr="0019634B">
        <w:rPr>
          <w:rFonts w:eastAsia="Times New Roman" w:cstheme="minorHAnsi"/>
          <w:b/>
          <w:bCs/>
          <w:color w:val="4472C4" w:themeColor="accent1"/>
          <w:lang w:eastAsia="pl-PL"/>
        </w:rPr>
        <w:t>WNOSKODAWCA</w:t>
      </w:r>
      <w:r w:rsidR="00C867EE" w:rsidRPr="0019634B">
        <w:rPr>
          <w:rFonts w:eastAsia="Times New Roman" w:cstheme="minorHAnsi"/>
          <w:b/>
          <w:bCs/>
          <w:color w:val="4472C4" w:themeColor="accent1"/>
          <w:lang w:eastAsia="pl-PL"/>
        </w:rPr>
        <w:t>:</w:t>
      </w:r>
    </w:p>
    <w:p w:rsidR="00E51A24" w:rsidRPr="0019634B" w:rsidRDefault="00E51A24" w:rsidP="0019634B">
      <w:pPr>
        <w:pStyle w:val="Akapitzlist"/>
        <w:numPr>
          <w:ilvl w:val="0"/>
          <w:numId w:val="33"/>
        </w:numPr>
        <w:spacing w:line="360" w:lineRule="auto"/>
        <w:rPr>
          <w:rFonts w:cstheme="minorHAnsi"/>
          <w:b/>
        </w:rPr>
      </w:pPr>
      <w:r w:rsidRPr="0019634B">
        <w:rPr>
          <w:rFonts w:cstheme="minorHAnsi"/>
          <w:b/>
        </w:rPr>
        <w:t>Czy składając wniosek w naborze na Operatora</w:t>
      </w:r>
      <w:r w:rsidR="00A63EB5" w:rsidRPr="0019634B">
        <w:rPr>
          <w:rFonts w:cstheme="minorHAnsi"/>
          <w:b/>
        </w:rPr>
        <w:t xml:space="preserve"> </w:t>
      </w:r>
      <w:r w:rsidRPr="0019634B">
        <w:rPr>
          <w:rFonts w:cstheme="minorHAnsi"/>
          <w:b/>
        </w:rPr>
        <w:t>Podmiotowego Systemu Finansowania w ramach projektu Działanie 5.9. Kształcenie ustawiczne – przy założeniu, że zostalibyśmy wyłonieni jako Operator – czy moglibyśmy nadal świadczyć usługi szkoleniowe w ramach bazy BUR jako firma szkoleniowa?</w:t>
      </w:r>
      <w:r w:rsidR="00A63EB5" w:rsidRPr="0019634B">
        <w:rPr>
          <w:rFonts w:cstheme="minorHAnsi"/>
          <w:b/>
        </w:rPr>
        <w:t xml:space="preserve"> </w:t>
      </w:r>
      <w:r w:rsidRPr="0019634B">
        <w:rPr>
          <w:rFonts w:cstheme="minorHAnsi"/>
          <w:b/>
        </w:rPr>
        <w:t xml:space="preserve">Aktualnie realizujemy szkolenia w ramach bazy BUR. </w:t>
      </w:r>
    </w:p>
    <w:p w:rsidR="00A63EB5" w:rsidRPr="00D25F4B" w:rsidRDefault="00A63EB5" w:rsidP="0019634B">
      <w:pPr>
        <w:spacing w:line="360" w:lineRule="auto"/>
        <w:rPr>
          <w:rFonts w:cstheme="minorHAnsi"/>
          <w:b/>
        </w:rPr>
      </w:pPr>
      <w:r w:rsidRPr="00D25F4B">
        <w:rPr>
          <w:rFonts w:cstheme="minorHAnsi"/>
          <w:b/>
        </w:rPr>
        <w:t xml:space="preserve">Odpowiedź z 03.06.2024: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t>c) jest świadczona przez podmiot pełniący funkcję operatora lub partnera w danym projekcie PSF albo przez podmiot powiązany z operatorem lub partnerem kapitałowo lub osobowo;</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operatora lub partnera operatora PSF w którymkolwiek RP lub FERS.” </w:t>
      </w:r>
    </w:p>
    <w:p w:rsidR="00E51A24" w:rsidRPr="0019634B" w:rsidRDefault="00E51A24" w:rsidP="0019634B">
      <w:pPr>
        <w:spacing w:line="360" w:lineRule="auto"/>
        <w:rPr>
          <w:rFonts w:cstheme="minorHAnsi"/>
        </w:rPr>
      </w:pPr>
      <w:r w:rsidRPr="0019634B">
        <w:rPr>
          <w:rFonts w:cstheme="minorHAnsi"/>
        </w:rPr>
        <w:t>W związku z powyższym, Operator nie może świadczyć usług w ramach danego projektu, a także którymkolwiek projekcie regionalnym czy krajowym, jednocześnie może być zarejestrowana w BUR jako firma szkoleniowa i realizować szkolenia na rynku komercyjnym, poza PSF.</w:t>
      </w:r>
    </w:p>
    <w:p w:rsidR="00625671" w:rsidRPr="0019634B" w:rsidRDefault="00625671" w:rsidP="0019634B">
      <w:pPr>
        <w:spacing w:line="360" w:lineRule="auto"/>
        <w:rPr>
          <w:rFonts w:cstheme="minorHAnsi"/>
          <w:b/>
          <w:color w:val="4472C4" w:themeColor="accent1"/>
        </w:rPr>
      </w:pPr>
      <w:r w:rsidRPr="0019634B">
        <w:rPr>
          <w:rFonts w:cstheme="minorHAnsi"/>
          <w:b/>
          <w:color w:val="4472C4" w:themeColor="accent1"/>
        </w:rPr>
        <w:t>GRUPA DOCELOWA:</w:t>
      </w:r>
    </w:p>
    <w:p w:rsidR="00E51A24" w:rsidRPr="0019634B" w:rsidRDefault="00E51A24" w:rsidP="0019634B">
      <w:pPr>
        <w:pStyle w:val="Akapitzlist"/>
        <w:numPr>
          <w:ilvl w:val="0"/>
          <w:numId w:val="34"/>
        </w:numPr>
        <w:spacing w:line="360" w:lineRule="auto"/>
        <w:rPr>
          <w:rFonts w:cstheme="minorHAnsi"/>
          <w:b/>
        </w:rPr>
      </w:pPr>
      <w:r w:rsidRPr="0019634B">
        <w:rPr>
          <w:rFonts w:cstheme="minorHAnsi"/>
          <w:b/>
        </w:rPr>
        <w:t xml:space="preserve">Jesteśmy zarejestrowani w </w:t>
      </w:r>
      <w:proofErr w:type="spellStart"/>
      <w:r w:rsidRPr="0019634B">
        <w:rPr>
          <w:rFonts w:cstheme="minorHAnsi"/>
          <w:b/>
        </w:rPr>
        <w:t>BURze</w:t>
      </w:r>
      <w:proofErr w:type="spellEnd"/>
      <w:r w:rsidRPr="0019634B">
        <w:rPr>
          <w:rFonts w:cstheme="minorHAnsi"/>
          <w:b/>
        </w:rPr>
        <w:t>. Czy jeśli zostalibyśmy Operatorem, to czy uczestnicy projektu mogą brać udział w naszych szkoleniach, studiach podyplomowych (realizowanych przez nas)?</w:t>
      </w:r>
    </w:p>
    <w:p w:rsidR="00E51A24" w:rsidRPr="00D25F4B" w:rsidRDefault="00A63EB5" w:rsidP="0019634B">
      <w:pPr>
        <w:spacing w:line="360" w:lineRule="auto"/>
        <w:rPr>
          <w:rFonts w:cstheme="minorHAnsi"/>
          <w:b/>
        </w:rPr>
      </w:pPr>
      <w:r w:rsidRPr="00D25F4B">
        <w:rPr>
          <w:rFonts w:cstheme="minorHAnsi"/>
          <w:b/>
        </w:rPr>
        <w:t xml:space="preserve">Odpowiedź z 03.06.2024: </w:t>
      </w:r>
      <w:r w:rsidR="00E51A24" w:rsidRPr="00D25F4B">
        <w:rPr>
          <w:rFonts w:cstheme="minorHAnsi"/>
          <w:b/>
        </w:rPr>
        <w:t xml:space="preserve">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lastRenderedPageBreak/>
        <w:t xml:space="preserve">c)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w danym projekcie PSF albo przez </w:t>
      </w:r>
      <w:r w:rsidRPr="0019634B">
        <w:rPr>
          <w:rFonts w:cstheme="minorHAnsi"/>
          <w:b/>
          <w:bCs/>
        </w:rPr>
        <w:t>podmiot powiązany z operatorem</w:t>
      </w:r>
      <w:r w:rsidRPr="0019634B">
        <w:rPr>
          <w:rFonts w:cstheme="minorHAnsi"/>
        </w:rPr>
        <w:t xml:space="preserve"> lub </w:t>
      </w:r>
      <w:r w:rsidRPr="0019634B">
        <w:rPr>
          <w:rFonts w:cstheme="minorHAnsi"/>
          <w:b/>
          <w:bCs/>
        </w:rPr>
        <w:t>partnerem</w:t>
      </w:r>
      <w:r w:rsidRPr="0019634B">
        <w:rPr>
          <w:rFonts w:cstheme="minorHAnsi"/>
        </w:rPr>
        <w:t xml:space="preserve"> kapitałowo lub osobowo</w:t>
      </w:r>
      <w:r w:rsidRPr="0019634B">
        <w:rPr>
          <w:rFonts w:cstheme="minorHAnsi"/>
          <w:vertAlign w:val="superscript"/>
        </w:rPr>
        <w:footnoteReference w:customMarkFollows="1" w:id="1"/>
        <w:t>[2]</w:t>
      </w:r>
      <w:r w:rsidRPr="0019634B">
        <w:rPr>
          <w:rFonts w:cstheme="minorHAnsi"/>
        </w:rPr>
        <w:t>;</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operatora PSF w którymkolwiek RP lub FERS.” </w:t>
      </w:r>
    </w:p>
    <w:p w:rsidR="00B81240" w:rsidRDefault="00E51A24" w:rsidP="0019634B">
      <w:pPr>
        <w:spacing w:line="360" w:lineRule="auto"/>
        <w:rPr>
          <w:rFonts w:cstheme="minorHAnsi"/>
        </w:rPr>
      </w:pPr>
      <w:r w:rsidRPr="0019634B">
        <w:rPr>
          <w:rFonts w:cstheme="minorHAnsi"/>
        </w:rPr>
        <w:t xml:space="preserve">W związku z powyższym nie jest możliwe, by Operator świadczył usługi rozwojowe w ramach danego projektu PSF lub w jakimkolwiek regionalnym projekcie RP lub krajowym FERS. </w:t>
      </w:r>
    </w:p>
    <w:p w:rsidR="00B81240" w:rsidRPr="00B81240" w:rsidRDefault="00B81240" w:rsidP="00CF68FE">
      <w:pPr>
        <w:pStyle w:val="NormalnyWeb"/>
        <w:numPr>
          <w:ilvl w:val="0"/>
          <w:numId w:val="34"/>
        </w:numPr>
        <w:spacing w:before="0" w:beforeAutospacing="0" w:after="0" w:afterAutospacing="0" w:line="360" w:lineRule="auto"/>
        <w:ind w:left="708" w:firstLine="0"/>
        <w:rPr>
          <w:rFonts w:asciiTheme="minorHAnsi" w:hAnsiTheme="minorHAnsi" w:cstheme="minorHAnsi"/>
          <w:b/>
        </w:rPr>
      </w:pPr>
      <w:r w:rsidRPr="00B81240">
        <w:rPr>
          <w:rFonts w:asciiTheme="minorHAnsi" w:hAnsiTheme="minorHAnsi" w:cstheme="minorHAnsi"/>
          <w:b/>
        </w:rPr>
        <w:t xml:space="preserve">Zgodnie z regulaminem projektu </w:t>
      </w:r>
      <w:r w:rsidRPr="00B81240">
        <w:rPr>
          <w:rFonts w:asciiTheme="minorHAnsi" w:hAnsiTheme="minorHAnsi" w:cstheme="minorHAnsi"/>
          <w:b/>
          <w:color w:val="000000"/>
        </w:rPr>
        <w:t>wsparcie w ramach Działania 5.9. FEP Kształcenie ustawiczne – usługi rozwojowe udzielane jest osobom dorosłym, które chcą z własnej inicjatywy podnieść lub zmienić swoje kwalifikacje. Wsparciem mogą zostać objęte tylko osoby fizyczne mające miejsce zamieszkania w rozumieniu ustawy z dnia 23 kwietnia 1964 roku Kodeks cywilny lub pracujące albo uczące się na terenie województwa pomorskiego.</w:t>
      </w:r>
    </w:p>
    <w:p w:rsidR="00B81240" w:rsidRPr="00B81240" w:rsidRDefault="00B81240" w:rsidP="00CF68FE">
      <w:pPr>
        <w:pStyle w:val="NormalnyWeb"/>
        <w:spacing w:before="0" w:beforeAutospacing="0" w:after="0" w:afterAutospacing="0" w:line="360" w:lineRule="auto"/>
        <w:ind w:left="708"/>
        <w:rPr>
          <w:rFonts w:asciiTheme="minorHAnsi" w:hAnsiTheme="minorHAnsi" w:cstheme="minorHAnsi"/>
          <w:b/>
        </w:rPr>
      </w:pPr>
      <w:r w:rsidRPr="00B81240">
        <w:rPr>
          <w:rFonts w:asciiTheme="minorHAnsi" w:hAnsiTheme="minorHAnsi" w:cstheme="minorHAnsi"/>
          <w:b/>
          <w:color w:val="000000"/>
        </w:rPr>
        <w:t xml:space="preserve">Z drugiej natomiast strony zgodnie z informacjami uzyskanymi na spotkaniu informacyjnym dnia 10.06.2024r. w projekcie nie może być udzielana pomoc de </w:t>
      </w:r>
      <w:proofErr w:type="spellStart"/>
      <w:r w:rsidRPr="00B81240">
        <w:rPr>
          <w:rFonts w:asciiTheme="minorHAnsi" w:hAnsiTheme="minorHAnsi" w:cstheme="minorHAnsi"/>
          <w:b/>
          <w:color w:val="000000"/>
        </w:rPr>
        <w:t>minimis</w:t>
      </w:r>
      <w:proofErr w:type="spellEnd"/>
      <w:r w:rsidRPr="00B81240">
        <w:rPr>
          <w:rFonts w:asciiTheme="minorHAnsi" w:hAnsiTheme="minorHAnsi" w:cstheme="minorHAnsi"/>
          <w:b/>
          <w:color w:val="000000"/>
        </w:rPr>
        <w:t xml:space="preserve"> ani pomoc publiczna.</w:t>
      </w:r>
    </w:p>
    <w:p w:rsidR="00B81240" w:rsidRDefault="00B81240" w:rsidP="00CF68FE">
      <w:pPr>
        <w:spacing w:after="0" w:line="360" w:lineRule="auto"/>
        <w:ind w:left="708"/>
        <w:rPr>
          <w:rFonts w:cstheme="minorHAnsi"/>
          <w:b/>
          <w:color w:val="000000"/>
        </w:rPr>
      </w:pPr>
      <w:r w:rsidRPr="00B81240">
        <w:rPr>
          <w:rFonts w:cstheme="minorHAnsi"/>
          <w:b/>
          <w:color w:val="000000"/>
        </w:rPr>
        <w:t xml:space="preserve">Czy zatem w świetle powyższego </w:t>
      </w:r>
      <w:r w:rsidRPr="00B81240">
        <w:rPr>
          <w:rFonts w:cstheme="minorHAnsi"/>
          <w:b/>
          <w:bCs/>
          <w:color w:val="000000"/>
          <w:u w:val="single"/>
        </w:rPr>
        <w:t>osoby fizyczne</w:t>
      </w:r>
      <w:r w:rsidRPr="00B81240">
        <w:rPr>
          <w:rFonts w:cstheme="minorHAnsi"/>
          <w:b/>
          <w:color w:val="000000"/>
        </w:rPr>
        <w:t xml:space="preserve"> prowadzące działalność gospodarczą (jednoosobową), w tym osoby z działalnością zawieszą, a takowe mogą być zatrudnione w innych przedsiębiorstwach lub zarejestrowane jako osoby bezrobotne (art. 2 ust. 2 pkt. F ustawy o promocji zatrudnienia i instytucjach rynku pracy) bazując na wyjaśnieniach UOKIK są wyłączone ze wsparcia i fakt, ten winien podlegać weryfikacji na etapie rekrutacji. Czy może należy weryfikować powiązanie zakresu tematycznego szkolenia i profilu prowadzonej dzielności i jeśli takowe nie występuje osobę, taką możemy zakwalifikować do udziału w projekcie.</w:t>
      </w:r>
    </w:p>
    <w:p w:rsidR="00D25F4B" w:rsidRDefault="00D25F4B" w:rsidP="00B81240">
      <w:pPr>
        <w:spacing w:after="0" w:line="360" w:lineRule="auto"/>
        <w:rPr>
          <w:rFonts w:cstheme="minorHAnsi"/>
          <w:b/>
        </w:rPr>
      </w:pPr>
    </w:p>
    <w:p w:rsidR="00B81240" w:rsidRPr="00D25F4B" w:rsidRDefault="00B81240" w:rsidP="00B81240">
      <w:pPr>
        <w:spacing w:after="0" w:line="360" w:lineRule="auto"/>
        <w:rPr>
          <w:rFonts w:cstheme="minorHAnsi"/>
          <w:b/>
        </w:rPr>
      </w:pPr>
      <w:r w:rsidRPr="00D25F4B">
        <w:rPr>
          <w:rFonts w:cstheme="minorHAnsi"/>
          <w:b/>
        </w:rPr>
        <w:t>Odpowiedź z 12.06.2024:</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color w:val="000000"/>
        </w:rPr>
      </w:pPr>
      <w:r w:rsidRPr="00A964C7">
        <w:rPr>
          <w:rFonts w:asciiTheme="minorHAnsi" w:hAnsiTheme="minorHAnsi" w:cstheme="minorHAnsi"/>
          <w:color w:val="000000"/>
        </w:rPr>
        <w:t xml:space="preserve">Na spotkaniu informacyjnym w dniu 10.06.2024r. podano informację, iż z uwagi na specyfikę grupy docelowej, w projekcie nie powinna wystąpić pomoc publiczna/pomoc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color w:val="000000"/>
        </w:rPr>
        <w:t xml:space="preserve">, co nie wyklucza sytuacji, że może ona wystąpić. </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rPr>
      </w:pPr>
      <w:r w:rsidRPr="00A964C7">
        <w:rPr>
          <w:rFonts w:asciiTheme="minorHAnsi" w:hAnsiTheme="minorHAnsi" w:cstheme="minorHAnsi"/>
        </w:rPr>
        <w:t xml:space="preserve">Osoby fizyczne prowadzące działalność gospodarczą (jednoosobową), w tym osoby z działalnością zawieszoną nie są wyłączone ze wsparcia w ramach Działania 5.9. Niemniej jednak, w kontekście możliwości wystąpienia pomocy publicznej/pomocy </w:t>
      </w:r>
      <w:r w:rsidRPr="00A964C7">
        <w:rPr>
          <w:rFonts w:asciiTheme="minorHAnsi" w:hAnsiTheme="minorHAnsi" w:cstheme="minorHAnsi"/>
          <w:i/>
          <w:iCs/>
        </w:rPr>
        <w:t xml:space="preserve">de </w:t>
      </w:r>
      <w:proofErr w:type="spellStart"/>
      <w:r w:rsidRPr="00A964C7">
        <w:rPr>
          <w:rFonts w:asciiTheme="minorHAnsi" w:hAnsiTheme="minorHAnsi" w:cstheme="minorHAnsi"/>
          <w:i/>
          <w:iCs/>
        </w:rPr>
        <w:t>minimis</w:t>
      </w:r>
      <w:proofErr w:type="spellEnd"/>
      <w:r w:rsidRPr="00A964C7">
        <w:rPr>
          <w:rFonts w:asciiTheme="minorHAnsi" w:hAnsiTheme="minorHAnsi" w:cstheme="minorHAnsi"/>
        </w:rPr>
        <w:t xml:space="preserve">, to operator jest zobowiązany do zweryfikowania, czy istnieje </w:t>
      </w:r>
      <w:r w:rsidRPr="00A964C7">
        <w:rPr>
          <w:rFonts w:asciiTheme="minorHAnsi" w:hAnsiTheme="minorHAnsi" w:cstheme="minorHAnsi"/>
          <w:color w:val="000000"/>
        </w:rPr>
        <w:t xml:space="preserve">powiązanie zakresu tematycznego szkolenia z profilem prowadzonej działalności, również zawieszonej działalności gospodarczej. Jeśli takowe występuje, uczestnik nie jest wykluczony z otrzymania wsparcia, jednak będzie ono objęte pomocą publiczną/pomocą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i/>
          <w:iCs/>
          <w:color w:val="000000"/>
        </w:rPr>
        <w:t xml:space="preserve">. </w:t>
      </w:r>
      <w:r w:rsidRPr="00A964C7">
        <w:rPr>
          <w:rFonts w:asciiTheme="minorHAnsi" w:hAnsiTheme="minorHAnsi" w:cstheme="minorHAnsi"/>
          <w:color w:val="000000"/>
        </w:rPr>
        <w:t>  </w:t>
      </w:r>
    </w:p>
    <w:p w:rsidR="00B81240" w:rsidRPr="00B81240" w:rsidRDefault="00B81240" w:rsidP="00B81240">
      <w:pPr>
        <w:spacing w:after="0" w:line="360" w:lineRule="auto"/>
        <w:rPr>
          <w:rFonts w:cstheme="minorHAnsi"/>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Pr="00B81240" w:rsidRDefault="00B81240" w:rsidP="00B81240">
      <w:pPr>
        <w:spacing w:after="0" w:line="360" w:lineRule="auto"/>
        <w:rPr>
          <w:rFonts w:cstheme="minorHAnsi"/>
          <w:b/>
        </w:rPr>
      </w:pPr>
    </w:p>
    <w:p w:rsidR="00597223" w:rsidRPr="00B81240" w:rsidRDefault="00597223" w:rsidP="0019634B">
      <w:pPr>
        <w:spacing w:line="360" w:lineRule="auto"/>
        <w:rPr>
          <w:rFonts w:cstheme="minorHAnsi"/>
        </w:rPr>
      </w:pPr>
      <w:r w:rsidRPr="0019634B">
        <w:rPr>
          <w:rFonts w:cstheme="minorHAnsi"/>
          <w:b/>
          <w:color w:val="4472C4" w:themeColor="accent1"/>
        </w:rPr>
        <w:t>WSPARCIE:</w:t>
      </w:r>
    </w:p>
    <w:p w:rsidR="00597223" w:rsidRPr="0019634B" w:rsidRDefault="00597223" w:rsidP="0019634B">
      <w:pPr>
        <w:numPr>
          <w:ilvl w:val="0"/>
          <w:numId w:val="36"/>
        </w:numPr>
        <w:spacing w:after="0" w:line="360" w:lineRule="auto"/>
        <w:rPr>
          <w:rFonts w:eastAsia="Calibri" w:cstheme="minorHAnsi"/>
          <w:b/>
        </w:rPr>
      </w:pPr>
      <w:r w:rsidRPr="0019634B">
        <w:rPr>
          <w:rFonts w:eastAsia="Calibri" w:cstheme="minorHAnsi"/>
          <w:b/>
        </w:rPr>
        <w:t xml:space="preserve">Usługa szkoleniowa i usługa doradcza mają praktycznie taka samą definicję. Jaka jest faktycznie różnica dla tego naboru? Szczególnie chodzi o definicję usługi doradczej. Jakiego rodzaju usługi doradcze mogą być kwalifikowalne do wsparcia dla osób fizycznych? Czy BUR będzie z góry określała, która usługa doradcza kwalifikuje się do wsparcia w ramach PSF? </w:t>
      </w:r>
    </w:p>
    <w:p w:rsidR="00597223" w:rsidRPr="0019634B" w:rsidRDefault="00597223" w:rsidP="0019634B">
      <w:pPr>
        <w:spacing w:after="0" w:line="360" w:lineRule="auto"/>
        <w:ind w:left="720"/>
        <w:rPr>
          <w:rFonts w:eastAsia="Calibri" w:cstheme="minorHAnsi"/>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B81240">
      <w:pPr>
        <w:spacing w:after="0" w:line="360" w:lineRule="auto"/>
        <w:rPr>
          <w:rFonts w:eastAsia="Calibri" w:cstheme="minorHAnsi"/>
        </w:rPr>
      </w:pPr>
      <w:r w:rsidRPr="0019634B">
        <w:rPr>
          <w:rFonts w:eastAsia="Calibri" w:cstheme="minorHAnsi"/>
        </w:rPr>
        <w:t xml:space="preserve">Definicja usług rozwojowych wskazana w Regulaminie jest zgodna z § 3 Rozporządzenia Ministra Funduszy </w:t>
      </w:r>
      <w:r w:rsidR="00AD1BAF">
        <w:rPr>
          <w:rFonts w:eastAsia="Calibri" w:cstheme="minorHAnsi"/>
        </w:rPr>
        <w:br/>
      </w:r>
      <w:r w:rsidRPr="0019634B">
        <w:rPr>
          <w:rFonts w:eastAsia="Calibri" w:cstheme="minorHAnsi"/>
        </w:rPr>
        <w:t xml:space="preserve">i Polityki Regionalnej z dnia 28 lipca 2023 r. w sprawie rejestru podmiotów świadczących usługi rozwojowe. </w:t>
      </w:r>
      <w:r w:rsidR="0019634B">
        <w:rPr>
          <w:rFonts w:eastAsia="Calibri" w:cstheme="minorHAnsi"/>
        </w:rPr>
        <w:t xml:space="preserve"> </w:t>
      </w:r>
      <w:r w:rsidRPr="0019634B">
        <w:rPr>
          <w:rFonts w:eastAsia="Calibri" w:cstheme="minorHAnsi"/>
        </w:rPr>
        <w:t xml:space="preserve">Usługi szkoleniowe mają na celu poza nabyciem/potwierdzeniem/wzrostem kompetencji przede wszystkim </w:t>
      </w:r>
      <w:r w:rsidR="00AD1BAF">
        <w:rPr>
          <w:rFonts w:eastAsia="Calibri" w:cstheme="minorHAnsi"/>
        </w:rPr>
        <w:br/>
      </w:r>
      <w:r w:rsidRPr="0019634B">
        <w:rPr>
          <w:rFonts w:eastAsia="Calibri" w:cstheme="minorHAnsi"/>
        </w:rPr>
        <w:t xml:space="preserve">na celu uzyskanie/potwierdzenie/rozwój kwalifikacji, czego w przypadku usług doradczych nie można osiągnąć.  </w:t>
      </w:r>
      <w:r w:rsidR="0019634B">
        <w:rPr>
          <w:rFonts w:eastAsia="Calibri" w:cstheme="minorHAnsi"/>
        </w:rPr>
        <w:t xml:space="preserve">                 </w:t>
      </w:r>
      <w:r w:rsidRPr="0019634B">
        <w:rPr>
          <w:rFonts w:eastAsia="Calibri" w:cstheme="minorHAnsi"/>
        </w:rPr>
        <w:t>W ramach projektu mogą być finansowane wszelkie usługi dostępne w Bazie Usług Rozwojowych, tj.: usługi szkoleniowe: szkolenie, szkolenie o charakterze zawodowym, studia podyplomowe, egzamin, oraz usługi doradcze: jak doradztwo biznesowe, coaching, mentoring.</w:t>
      </w:r>
    </w:p>
    <w:p w:rsidR="00597223" w:rsidRPr="0019634B" w:rsidRDefault="00597223" w:rsidP="0019634B">
      <w:pPr>
        <w:spacing w:after="0" w:line="360" w:lineRule="auto"/>
        <w:rPr>
          <w:rFonts w:eastAsia="Calibri" w:cstheme="minorHAnsi"/>
        </w:rPr>
      </w:pPr>
    </w:p>
    <w:p w:rsidR="00597223" w:rsidRPr="0019634B" w:rsidRDefault="00597223" w:rsidP="0019634B">
      <w:pPr>
        <w:spacing w:after="0" w:line="360" w:lineRule="auto"/>
        <w:rPr>
          <w:rFonts w:eastAsia="Calibri" w:cstheme="minorHAnsi"/>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Operator opracowuje regulamin rekrutacji i udziału w projekcie wraz z załącznikami (wzorami dokumentów m. in. takich jak: umowa wsparcia, formularz zgłoszeniowy uczestnika wsparcia, formularz rozliczający usługę rozwojową). Regulamin podlega akceptacji przez IZ FEP. </w:t>
      </w:r>
      <w:r w:rsidR="0019634B">
        <w:rPr>
          <w:rFonts w:eastAsia="Calibri" w:cstheme="minorHAnsi"/>
          <w:b/>
        </w:rPr>
        <w:t xml:space="preserve">                             </w:t>
      </w:r>
      <w:r w:rsidRPr="0019634B">
        <w:rPr>
          <w:rFonts w:eastAsia="Calibri" w:cstheme="minorHAnsi"/>
          <w:b/>
        </w:rPr>
        <w:t xml:space="preserve">Czy te dokumenty opracowuje Operator po podpisaniu umowy z IZ?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pStyle w:val="Akapitzlist"/>
        <w:spacing w:after="0" w:line="360" w:lineRule="auto"/>
        <w:ind w:left="0"/>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Tak, opracowanie regulaminu rekrutacji wraz załącznikami przez operatora nastąpi po podpisaniu umowy </w:t>
      </w:r>
      <w:r w:rsidR="0019634B">
        <w:rPr>
          <w:rFonts w:eastAsia="Calibri" w:cstheme="minorHAnsi"/>
        </w:rPr>
        <w:t xml:space="preserve">                   </w:t>
      </w:r>
      <w:r w:rsidRPr="0019634B">
        <w:rPr>
          <w:rFonts w:eastAsia="Calibri" w:cstheme="minorHAnsi"/>
        </w:rPr>
        <w:t>z IZ FEP.</w:t>
      </w:r>
    </w:p>
    <w:p w:rsidR="00597223" w:rsidRPr="0019634B" w:rsidRDefault="00597223" w:rsidP="0019634B">
      <w:pPr>
        <w:spacing w:after="0" w:line="360" w:lineRule="auto"/>
        <w:rPr>
          <w:rFonts w:eastAsia="Calibri" w:cstheme="minorHAnsi"/>
        </w:rPr>
      </w:pPr>
    </w:p>
    <w:p w:rsidR="00597223" w:rsidRPr="0019634B" w:rsidRDefault="00597223" w:rsidP="0019634B">
      <w:pPr>
        <w:numPr>
          <w:ilvl w:val="0"/>
          <w:numId w:val="36"/>
        </w:numPr>
        <w:spacing w:after="0" w:line="360" w:lineRule="auto"/>
        <w:rPr>
          <w:rFonts w:eastAsia="Calibri" w:cstheme="minorHAnsi"/>
          <w:b/>
        </w:rPr>
      </w:pPr>
      <w:r w:rsidRPr="0019634B">
        <w:rPr>
          <w:rFonts w:eastAsia="Calibri" w:cstheme="minorHAnsi"/>
          <w:b/>
        </w:rPr>
        <w:t xml:space="preserve">Zgodnie z zapisami Regulaminu dla działania 5.9 Rozdział 2, pkt. 2.3, </w:t>
      </w:r>
      <w:proofErr w:type="spellStart"/>
      <w:r w:rsidRPr="0019634B">
        <w:rPr>
          <w:rFonts w:eastAsia="Calibri" w:cstheme="minorHAnsi"/>
          <w:b/>
        </w:rPr>
        <w:t>ppkt</w:t>
      </w:r>
      <w:proofErr w:type="spellEnd"/>
      <w:r w:rsidRPr="0019634B">
        <w:rPr>
          <w:rFonts w:eastAsia="Calibri" w:cstheme="minorHAnsi"/>
          <w:b/>
        </w:rPr>
        <w:t xml:space="preserve"> 2.3.4 kwalifikowalne są koszty usługi rozwojowej głownie, które będą realizowane za pośrednictwem BUR, jednakże zgodnie </w:t>
      </w:r>
      <w:r w:rsidR="0019634B">
        <w:rPr>
          <w:rFonts w:eastAsia="Calibri" w:cstheme="minorHAnsi"/>
          <w:b/>
        </w:rPr>
        <w:t xml:space="preserve"> </w:t>
      </w:r>
      <w:r w:rsidRPr="0019634B">
        <w:rPr>
          <w:rFonts w:eastAsia="Calibri" w:cstheme="minorHAnsi"/>
          <w:b/>
        </w:rPr>
        <w:t xml:space="preserve">z  </w:t>
      </w:r>
      <w:proofErr w:type="spellStart"/>
      <w:r w:rsidRPr="0019634B">
        <w:rPr>
          <w:rFonts w:eastAsia="Calibri" w:cstheme="minorHAnsi"/>
          <w:b/>
        </w:rPr>
        <w:t>ppkt</w:t>
      </w:r>
      <w:proofErr w:type="spellEnd"/>
      <w:r w:rsidRPr="0019634B">
        <w:rPr>
          <w:rFonts w:eastAsia="Calibri" w:cstheme="minorHAnsi"/>
          <w:b/>
        </w:rPr>
        <w:t xml:space="preserve"> 2.3.1 pkt. 8 dopuszcza się sytuację, iż „Operator umożliwi uczestnikowi projektu złożenie zamówienia na usługę rozwojową za pomocą odrębnej funkcjonalności BUR, m.in. w sytuacji, </w:t>
      </w:r>
      <w:r w:rsidR="0019634B">
        <w:rPr>
          <w:rFonts w:eastAsia="Calibri" w:cstheme="minorHAnsi"/>
          <w:b/>
        </w:rPr>
        <w:t xml:space="preserve">                        </w:t>
      </w:r>
      <w:r w:rsidRPr="0019634B">
        <w:rPr>
          <w:rFonts w:eastAsia="Calibri" w:cstheme="minorHAnsi"/>
          <w:b/>
        </w:rPr>
        <w:t xml:space="preserve">gdy usługi rozwojowe, na które zgłaszane jest zapotrzebowanie, nie są dostępne w BUR (tzw. giełda usług)” zwracamy się z prośbą o doprecyzowanie/ wyjaśnienie w/w zapisu. </w:t>
      </w:r>
    </w:p>
    <w:p w:rsidR="00597223" w:rsidRPr="0019634B" w:rsidRDefault="00597223" w:rsidP="0019634B">
      <w:pPr>
        <w:spacing w:after="0" w:line="360" w:lineRule="auto"/>
        <w:ind w:left="720"/>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Jeśli w  Bazie Usług Rozwojowych nie ma usługi, którą zainteresowany jest uczestnik projektu, operator może złożyć zamówienia na konkretną usługę rozwojową pod potrzeby tej osoby. Informacja o braku odpowiedniego szkolenia w BUR trafia na tablicę ogłoszeń widoczną dla firm szkoleniowych zarejestrowanych w BUR. Gdy jakiś </w:t>
      </w:r>
      <w:r w:rsidRPr="0019634B">
        <w:rPr>
          <w:rFonts w:eastAsia="Calibri" w:cstheme="minorHAnsi"/>
        </w:rPr>
        <w:lastRenderedPageBreak/>
        <w:t>dostawca usług rozwojowych zdecyduje się na świadczenie usługi zgodnej z zapotrzebowaniem, powinien skontaktować się z operatorem i umieścić informację o usłudze w BUR.</w:t>
      </w:r>
    </w:p>
    <w:p w:rsidR="00597223" w:rsidRPr="0019634B" w:rsidRDefault="00597223" w:rsidP="0019634B">
      <w:pPr>
        <w:spacing w:after="0" w:line="360" w:lineRule="auto"/>
        <w:ind w:left="708"/>
        <w:rPr>
          <w:rFonts w:eastAsia="Calibri" w:cstheme="minorHAnsi"/>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Co do zasady wsparcie może zostać udzielone osobie, która ma miejsca zamieszkania lub pracuje </w:t>
      </w:r>
      <w:r w:rsidR="00AD1BAF">
        <w:rPr>
          <w:rFonts w:eastAsia="Calibri" w:cstheme="minorHAnsi"/>
          <w:b/>
        </w:rPr>
        <w:br/>
      </w:r>
      <w:r w:rsidRPr="0019634B">
        <w:rPr>
          <w:rFonts w:eastAsia="Calibri" w:cstheme="minorHAnsi"/>
          <w:b/>
        </w:rPr>
        <w:t xml:space="preserve">lub uczy się na terenie danego subregionu. Co z osobami, które mieszkają z jednym subregionie </w:t>
      </w:r>
      <w:r w:rsidR="00AD1BAF">
        <w:rPr>
          <w:rFonts w:eastAsia="Calibri" w:cstheme="minorHAnsi"/>
          <w:b/>
        </w:rPr>
        <w:br/>
      </w:r>
      <w:r w:rsidRPr="0019634B">
        <w:rPr>
          <w:rFonts w:eastAsia="Calibri" w:cstheme="minorHAnsi"/>
          <w:b/>
        </w:rPr>
        <w:t xml:space="preserve">a pracują, uczą się w innym subregionie? Co jest brane przede wszystkim pod uwagę, czy na pierwszym m miejscu jest to miejsce zamieszkania a później praca czy szkoła? Czy jeżeli osoba zamieszkująca dany subregion skorzysta z usługi w tym samym subregionie może liczyć na preferencje?? Czy Operator może takie preferencje w ramach regulaminu ustalić samodzielnie?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Wsparcie udzielane jest osobom dorosłym, które chcą z własnej inicjatywy podnieść lub zmienić swoje kwalifikacje, tj.: osoby fizyczne mające miejsce zamieszkania w rozumieniu ustawy z dnia 23 kwietnia 1964 roku Kodeks cywilny lub pracujące albo uczące się na terenie województwa pomorskiego.  Nie ma wymogu co do pierwszeństwa udzielania wsparcia np. osobom zamieszkałym na danym subregionie. Preferowanie w Regulaminie rekrutacji takiego podejścia, ograniczałoby udzielenie wsparcia osobom np. pracującym na danym subregionie, które chciałby zgłosić się do projektu, a z uwagi na zawężone warunki ustalone przez operatora, </w:t>
      </w:r>
      <w:r w:rsidR="00AD1BAF">
        <w:rPr>
          <w:rFonts w:eastAsia="Calibri" w:cstheme="minorHAnsi"/>
        </w:rPr>
        <w:br/>
      </w:r>
      <w:r w:rsidRPr="0019634B">
        <w:rPr>
          <w:rFonts w:eastAsia="Calibri" w:cstheme="minorHAnsi"/>
        </w:rPr>
        <w:t>nie mogłyby skorzystać ze wsparcia.</w:t>
      </w:r>
    </w:p>
    <w:p w:rsidR="00597223" w:rsidRPr="0019634B" w:rsidRDefault="00597223" w:rsidP="0019634B">
      <w:pPr>
        <w:spacing w:after="0" w:line="360" w:lineRule="auto"/>
        <w:rPr>
          <w:rFonts w:eastAsia="Calibri" w:cstheme="minorHAnsi"/>
          <w:color w:val="FF0000"/>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Zgodnie z zapisami Regulaminu dla działania 5.9 – 2.3.2 Zasady dotyczące finansowania usług rozwojowych „…3.Maksymalna kwota usługi rozwojowej (rozumianej jako jedna zamknięta forma wsparcia), która może zostać rozliczona w ramach projektu wynosi 10 000,00 PLN na uczestnika, </w:t>
      </w:r>
      <w:r w:rsidR="00AD1BAF">
        <w:rPr>
          <w:rFonts w:eastAsia="Calibri" w:cstheme="minorHAnsi"/>
          <w:b/>
        </w:rPr>
        <w:br/>
      </w:r>
      <w:r w:rsidRPr="0019634B">
        <w:rPr>
          <w:rFonts w:eastAsia="Calibri" w:cstheme="minorHAnsi"/>
          <w:b/>
        </w:rPr>
        <w:t xml:space="preserve">przy czym uczestnik może wybrać usługę droższą. W takim przypadku zobowiązany jest </w:t>
      </w:r>
      <w:r w:rsidR="00AD1BAF">
        <w:rPr>
          <w:rFonts w:eastAsia="Calibri" w:cstheme="minorHAnsi"/>
          <w:b/>
        </w:rPr>
        <w:br/>
      </w:r>
      <w:r w:rsidRPr="0019634B">
        <w:rPr>
          <w:rFonts w:eastAsia="Calibri" w:cstheme="minorHAnsi"/>
          <w:b/>
        </w:rPr>
        <w:t xml:space="preserve">do sfinansowania różnicy z własnych środków poza projektem.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Poziom dofinansowania usługi rozwojowej wynosi 95% kosztów tej usługi, a wkład własny wnoszony przez uczestnika 5%.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Maksymalna kwota dofinansowania usługi rozwojowej na jednego uczestnika (PESEL) </w:t>
      </w:r>
      <w:r w:rsidR="0019634B">
        <w:rPr>
          <w:rFonts w:eastAsia="Calibri" w:cstheme="minorHAnsi"/>
          <w:b/>
        </w:rPr>
        <w:t xml:space="preserve">                         </w:t>
      </w:r>
      <w:r w:rsidRPr="0019634B">
        <w:rPr>
          <w:rFonts w:eastAsia="Calibri" w:cstheme="minorHAnsi"/>
          <w:b/>
        </w:rPr>
        <w:t>wynosi 9 500,00 PLN.</w:t>
      </w:r>
      <w:r w:rsidRPr="0019634B">
        <w:rPr>
          <w:rFonts w:eastAsia="Calibri" w:cstheme="minorHAnsi"/>
          <w:b/>
        </w:rPr>
        <w:br/>
      </w:r>
      <w:r w:rsidR="00AD1BAF">
        <w:rPr>
          <w:rFonts w:eastAsia="Calibri" w:cstheme="minorHAnsi"/>
          <w:b/>
        </w:rPr>
        <w:t>-</w:t>
      </w:r>
      <w:r w:rsidRPr="0019634B">
        <w:rPr>
          <w:rFonts w:eastAsia="Calibri" w:cstheme="minorHAnsi"/>
          <w:b/>
        </w:rPr>
        <w:t>Uczestnik może skorzystać z kilku usług rozwojowych do wyczerpania maksymalnej kwoty dofinansowania usługi rozwojowej na jednego uczestnika, o której mowa w pkt. 5….”.</w:t>
      </w:r>
    </w:p>
    <w:p w:rsidR="00597223" w:rsidRPr="0019634B" w:rsidRDefault="00597223" w:rsidP="0019634B">
      <w:pPr>
        <w:spacing w:after="0" w:line="360" w:lineRule="auto"/>
        <w:ind w:left="708"/>
        <w:rPr>
          <w:rFonts w:eastAsia="Calibri" w:cstheme="minorHAnsi"/>
          <w:b/>
        </w:rPr>
      </w:pPr>
      <w:r w:rsidRPr="0019634B">
        <w:rPr>
          <w:rFonts w:eastAsia="Calibri" w:cstheme="minorHAnsi"/>
          <w:b/>
        </w:rPr>
        <w:t xml:space="preserve">Czy została opracowany sposób postępowania w sytuacji gdy uczestnik nie wykorzysta całej przysługującej mu kwoty dofinasowania usługi rozwojowej? Czy operator będzie mógł te środki „uwolnić” jeśli tak, to po jakim czasie i na jakich warunkach? </w:t>
      </w:r>
    </w:p>
    <w:p w:rsidR="00597223" w:rsidRPr="0019634B" w:rsidRDefault="00597223" w:rsidP="0019634B">
      <w:pPr>
        <w:spacing w:after="0" w:line="360" w:lineRule="auto"/>
        <w:rPr>
          <w:rFonts w:eastAsia="Calibri" w:cstheme="minorHAnsi"/>
          <w:b/>
          <w:bCs/>
        </w:rPr>
      </w:pPr>
    </w:p>
    <w:p w:rsidR="00597223" w:rsidRPr="00F06633" w:rsidRDefault="00597223" w:rsidP="0019634B">
      <w:pPr>
        <w:spacing w:after="0" w:line="360" w:lineRule="auto"/>
        <w:rPr>
          <w:rFonts w:eastAsia="Calibri" w:cstheme="minorHAnsi"/>
          <w:b/>
          <w:bCs/>
        </w:rPr>
      </w:pPr>
      <w:r w:rsidRPr="00F06633">
        <w:rPr>
          <w:rFonts w:eastAsia="Calibri" w:cstheme="minorHAnsi"/>
          <w:b/>
          <w:bCs/>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Uczestnik może ponownie przystąpić do projektu u danego operatora, jeśli nie wykorzystał maksymalnej kwoty dofinansowania usługi rozwojowej. Należy mieć również na uwadze, że operator zobligowany jest do objęcia usługą rozwojową minimalnej liczby osób, w związku z czym w momencie ponownego przystąpienia uczestnika do projektu, we wskaźniku wliczany będzie tylko raz. Pozostałe środki będą mogły zostać uwolnione na </w:t>
      </w:r>
      <w:r w:rsidRPr="0019634B">
        <w:rPr>
          <w:rFonts w:eastAsia="Calibri" w:cstheme="minorHAnsi"/>
        </w:rPr>
        <w:lastRenderedPageBreak/>
        <w:t>kolejnego uczestnika.</w:t>
      </w:r>
      <w:r w:rsidRPr="0019634B">
        <w:rPr>
          <w:rFonts w:cstheme="minorHAnsi"/>
        </w:rPr>
        <w:t xml:space="preserve"> </w:t>
      </w:r>
      <w:r w:rsidRPr="0019634B">
        <w:rPr>
          <w:rFonts w:eastAsia="Calibri" w:cstheme="minorHAnsi"/>
        </w:rPr>
        <w:t xml:space="preserve">Nie należy blokować środków w maksymalnej wysokości przypadającej na daną osobę. Kwota zarezerwowanych środków powinna wynikać z umowy dotyczącej konkretnej usługi rozwojowej. </w:t>
      </w:r>
      <w:r w:rsidR="00AD1BAF">
        <w:rPr>
          <w:rFonts w:eastAsia="Calibri" w:cstheme="minorHAnsi"/>
        </w:rPr>
        <w:br/>
      </w:r>
      <w:r w:rsidRPr="0019634B">
        <w:rPr>
          <w:rFonts w:eastAsia="Calibri" w:cstheme="minorHAnsi"/>
        </w:rPr>
        <w:t>Jeżeli uczestnik będzie chciał ponownie skorzystać z następnej usługi rozwojowej, należy zweryfikować czy jest możliwość sfinansowania tej usługi mając na uwadze wartość wcześniejszej usługi oraz dostępność środków posiadanych przez operatora.</w:t>
      </w:r>
    </w:p>
    <w:p w:rsidR="00E51A24" w:rsidRPr="0019634B" w:rsidRDefault="00E51A24" w:rsidP="0019634B">
      <w:pPr>
        <w:spacing w:line="360" w:lineRule="auto"/>
        <w:rPr>
          <w:rFonts w:cstheme="minorHAnsi"/>
          <w:b/>
        </w:rPr>
      </w:pPr>
    </w:p>
    <w:p w:rsidR="0019634B" w:rsidRPr="0019634B" w:rsidRDefault="0019634B" w:rsidP="0019634B">
      <w:pPr>
        <w:pStyle w:val="Nagwek1"/>
        <w:spacing w:line="360" w:lineRule="auto"/>
        <w:rPr>
          <w:rFonts w:asciiTheme="minorHAnsi" w:eastAsia="Times New Roman" w:hAnsiTheme="minorHAnsi" w:cstheme="minorHAnsi"/>
          <w:b/>
          <w:sz w:val="22"/>
          <w:szCs w:val="22"/>
          <w:lang w:eastAsia="pl-PL"/>
        </w:rPr>
      </w:pPr>
      <w:r w:rsidRPr="0019634B">
        <w:rPr>
          <w:rFonts w:asciiTheme="minorHAnsi" w:eastAsia="Times New Roman" w:hAnsiTheme="minorHAnsi" w:cstheme="minorHAnsi"/>
          <w:b/>
          <w:sz w:val="22"/>
          <w:szCs w:val="22"/>
          <w:lang w:eastAsia="pl-PL"/>
        </w:rPr>
        <w:t>BUDŻET PROJEKTU</w:t>
      </w:r>
    </w:p>
    <w:p w:rsidR="00E51A24" w:rsidRPr="0019634B" w:rsidRDefault="0019634B" w:rsidP="0019634B">
      <w:pPr>
        <w:pStyle w:val="Akapitzlist"/>
        <w:numPr>
          <w:ilvl w:val="0"/>
          <w:numId w:val="37"/>
        </w:numPr>
        <w:shd w:val="clear" w:color="auto" w:fill="FFFFFF"/>
        <w:spacing w:after="100" w:afterAutospacing="1" w:line="360" w:lineRule="auto"/>
        <w:rPr>
          <w:rFonts w:eastAsia="Times New Roman" w:cstheme="minorHAnsi"/>
          <w:b/>
          <w:color w:val="212529"/>
          <w:lang w:eastAsia="pl-PL"/>
        </w:rPr>
      </w:pPr>
      <w:r w:rsidRPr="0019634B">
        <w:rPr>
          <w:rFonts w:eastAsia="Times New Roman" w:cstheme="minorHAnsi"/>
          <w:b/>
          <w:color w:val="212529"/>
          <w:lang w:eastAsia="pl-PL"/>
        </w:rPr>
        <w:t>Czy w konkursie 5.9 BUR wkład własny może stanowić wkład finansowy od uczestników projektu? Refundacja kursu/ szkolenia może stanowić 95%, wiec i tak musza wyłożyć różnice. Pytanie czy wnioskodawca może tak zaprojektować budżet z wkładem własnym?</w:t>
      </w:r>
    </w:p>
    <w:p w:rsidR="0019634B" w:rsidRPr="008A2989" w:rsidRDefault="0019634B" w:rsidP="0019634B">
      <w:pPr>
        <w:spacing w:after="0" w:line="360" w:lineRule="auto"/>
        <w:rPr>
          <w:rFonts w:eastAsia="Calibri" w:cstheme="minorHAnsi"/>
          <w:b/>
          <w:bCs/>
        </w:rPr>
      </w:pPr>
      <w:r w:rsidRPr="008A2989">
        <w:rPr>
          <w:rFonts w:eastAsia="Calibri" w:cstheme="minorHAnsi"/>
          <w:b/>
          <w:bCs/>
        </w:rPr>
        <w:t>Odpowiedź z 11.06.2024:</w:t>
      </w:r>
    </w:p>
    <w:p w:rsidR="0019634B" w:rsidRDefault="0019634B" w:rsidP="00DE1EA6">
      <w:pPr>
        <w:spacing w:line="360" w:lineRule="auto"/>
      </w:pPr>
      <w:r>
        <w:t xml:space="preserve">Wkład własny w projekcie może zostać zapewniony w postaci wkładu wnoszonego przez uczestników korzystających z usług rozwojowych. Zwracamy jednak uwagę, iż w ramach projektu wymagane jest wniesienie wkładu własnego na poziomie 5% w odniesieniu do wartości całego projektu. Oznacza to, że wkład </w:t>
      </w:r>
      <w:r w:rsidR="00AD1BAF">
        <w:br/>
      </w:r>
      <w:r>
        <w:t xml:space="preserve">od uczestników nie będzie wystarczający do zapewnienia wymaganej wysokości wkładu w projekcie. </w:t>
      </w:r>
      <w:r w:rsidR="00AD1BAF">
        <w:br/>
      </w:r>
      <w:r>
        <w:t xml:space="preserve">Wynika to z tego, że obok finansowania usług rozwojowych, mogą wystąpić w projekcie również inne zadania </w:t>
      </w:r>
      <w:r w:rsidR="00AD1BAF">
        <w:br/>
      </w:r>
      <w:r>
        <w:t>i wydatki, a także koszty pośrednie. Dlatego, wkład wnoszony przez uczestników w wysokości 5% wartości rozliczanej usługi rozwojowej należy uzupełnić wkładem z innego źródła, tak, aby na poziomie całego projektu został zachowany właściwy montaż finansowy.</w:t>
      </w:r>
    </w:p>
    <w:p w:rsidR="007D2BFF" w:rsidRDefault="007D2BFF" w:rsidP="0019634B">
      <w:pPr>
        <w:spacing w:line="360" w:lineRule="auto"/>
      </w:pPr>
    </w:p>
    <w:p w:rsidR="00845811" w:rsidRDefault="00845811" w:rsidP="006923BF">
      <w:pPr>
        <w:pStyle w:val="Akapitzlist"/>
        <w:numPr>
          <w:ilvl w:val="0"/>
          <w:numId w:val="37"/>
        </w:numPr>
        <w:spacing w:after="0" w:line="360" w:lineRule="auto"/>
        <w:jc w:val="both"/>
        <w:rPr>
          <w:b/>
        </w:rPr>
      </w:pPr>
      <w:r w:rsidRPr="00845811">
        <w:rPr>
          <w:b/>
        </w:rPr>
        <w:t>Czy wkład własny musi być zachowany proporcjonalnie między Liderem i Partnerem? Czyli każdy ze stron musi wnieść taką samą wartość procentową wkładu własnego, czy może to być nieproporcjonalnie – tzn. Lider zapewnia (wnosi) cały wkład własny dla całego projektu, a Partner ma 100% dofinasowania swoich kosztów kwalifikowalnych?</w:t>
      </w:r>
    </w:p>
    <w:p w:rsidR="008A2989" w:rsidRPr="00845811" w:rsidRDefault="008A2989" w:rsidP="008A2989">
      <w:pPr>
        <w:pStyle w:val="Akapitzlist"/>
        <w:spacing w:after="0" w:line="360" w:lineRule="auto"/>
        <w:ind w:left="0"/>
        <w:jc w:val="both"/>
        <w:rPr>
          <w:b/>
        </w:rPr>
      </w:pPr>
    </w:p>
    <w:p w:rsidR="00845811" w:rsidRPr="008A2989" w:rsidRDefault="00845811" w:rsidP="00845811">
      <w:pPr>
        <w:spacing w:after="0" w:line="360" w:lineRule="auto"/>
        <w:rPr>
          <w:rFonts w:eastAsia="Calibri" w:cstheme="minorHAnsi"/>
          <w:b/>
          <w:bCs/>
        </w:rPr>
      </w:pPr>
      <w:r w:rsidRPr="008A2989">
        <w:rPr>
          <w:rFonts w:eastAsia="Calibri" w:cstheme="minorHAnsi"/>
          <w:b/>
          <w:bCs/>
        </w:rPr>
        <w:t>Odpowiedź z 17.06.2024:</w:t>
      </w:r>
    </w:p>
    <w:p w:rsidR="00845811" w:rsidRDefault="00845811" w:rsidP="00845811">
      <w:pPr>
        <w:spacing w:line="360" w:lineRule="auto"/>
      </w:pPr>
      <w:bookmarkStart w:id="0" w:name="_Hlk53401971"/>
      <w:r>
        <w:t>Zgodnie z zapisami Regulaminu wyboru projektów, wkład własny beneficjenta wynosi 5% wartości projektu</w:t>
      </w:r>
      <w:bookmarkEnd w:id="0"/>
      <w:r>
        <w:t>, co oznacza, że jako Lider projektu odpowiada on za wniesienie wkładu własnego w wymaganej wysokości. Nie musi być on jednak zachowany proporcjonalnie między Liderem i Partnerem, tzn. nie muszą oni wnosić wkładu wł</w:t>
      </w:r>
      <w:r w:rsidR="0085797D">
        <w:t>a</w:t>
      </w:r>
      <w:r>
        <w:t>snego w takiej samej wysokości.    </w:t>
      </w:r>
    </w:p>
    <w:p w:rsidR="00974320" w:rsidRDefault="00974320" w:rsidP="00974320">
      <w:pPr>
        <w:spacing w:after="0" w:line="360" w:lineRule="auto"/>
      </w:pPr>
    </w:p>
    <w:p w:rsidR="006923BF" w:rsidRPr="00974320" w:rsidRDefault="006923BF" w:rsidP="00974320">
      <w:pPr>
        <w:pStyle w:val="Akapitzlist"/>
        <w:numPr>
          <w:ilvl w:val="0"/>
          <w:numId w:val="37"/>
        </w:numPr>
        <w:spacing w:after="0" w:line="360" w:lineRule="auto"/>
        <w:rPr>
          <w:rFonts w:eastAsia="Times New Roman"/>
          <w:b/>
        </w:rPr>
      </w:pPr>
      <w:r w:rsidRPr="00974320">
        <w:rPr>
          <w:rFonts w:eastAsia="Times New Roman"/>
          <w:b/>
        </w:rPr>
        <w:t xml:space="preserve">Wydatki kwalifikowane w projekcie: </w:t>
      </w:r>
    </w:p>
    <w:p w:rsidR="006923BF" w:rsidRPr="006923BF" w:rsidRDefault="006923BF" w:rsidP="006923BF">
      <w:pPr>
        <w:pStyle w:val="Akapitzlist"/>
        <w:spacing w:after="0" w:line="360" w:lineRule="auto"/>
        <w:ind w:left="0"/>
        <w:rPr>
          <w:b/>
        </w:rPr>
      </w:pPr>
      <w:r w:rsidRPr="006923BF">
        <w:rPr>
          <w:b/>
        </w:rPr>
        <w:t>- czy zakładacie państwo jakiś konkretny procentowy podział budżetu na wydatki związane z finansowaniem usług rozwojowych i koszty operatorskie (związane z obsługą osób i usług np. z w zakresie diagnozy potrzeb, budowania motywacji, wsparcia w zakresie obsługi BUR, monitoringu usług)?</w:t>
      </w:r>
    </w:p>
    <w:p w:rsidR="006923BF" w:rsidRPr="006923BF" w:rsidRDefault="006923BF" w:rsidP="006923BF">
      <w:pPr>
        <w:pStyle w:val="Akapitzlist"/>
        <w:spacing w:after="0" w:line="360" w:lineRule="auto"/>
        <w:ind w:left="0"/>
        <w:rPr>
          <w:b/>
          <w:highlight w:val="yellow"/>
        </w:rPr>
      </w:pPr>
      <w:r w:rsidRPr="006923BF">
        <w:rPr>
          <w:b/>
        </w:rPr>
        <w:lastRenderedPageBreak/>
        <w:t xml:space="preserve">Wg. analiz ogólnopolskich prowadzonych przez PARP, w zależności od województwa wydatki operatorskie kształtują się na poziomie nawet do 40% wydatków kwalifikowanych w projekcie (woj. dolnośląskie). </w:t>
      </w:r>
    </w:p>
    <w:p w:rsidR="00DB157B" w:rsidRDefault="00DB157B" w:rsidP="006923BF">
      <w:pPr>
        <w:spacing w:after="0" w:line="360" w:lineRule="auto"/>
        <w:rPr>
          <w:rFonts w:eastAsia="Calibri" w:cstheme="minorHAnsi"/>
          <w:b/>
          <w:bCs/>
        </w:rPr>
      </w:pPr>
    </w:p>
    <w:p w:rsidR="006923BF" w:rsidRPr="008A2989" w:rsidRDefault="006923BF" w:rsidP="006923BF">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FB6B6D" w:rsidRDefault="006923BF" w:rsidP="006923BF">
      <w:pPr>
        <w:pStyle w:val="Akapitzlist"/>
        <w:spacing w:after="0" w:line="360" w:lineRule="auto"/>
        <w:ind w:left="0"/>
        <w:rPr>
          <w:bCs/>
        </w:rPr>
      </w:pPr>
      <w:r w:rsidRPr="006923BF">
        <w:rPr>
          <w:bCs/>
        </w:rPr>
        <w:t>Nie, w ramach naboru nie przewidziano procentowego podziału budżetu na wydatki związane z finansowaniem usług rozwojowych i kosztów operatorskich. Należy jednak pamiętać, iż w ramach planowanego budżetu głównym kosztem będzie sfinansowanie usługi rozwojowej dla uczestników projektu, których minimalna ilość dla każdego z subregionów została określona w Regulaminie wyboru projektów w podrozdziale 2.5, pkt 4.</w:t>
      </w:r>
    </w:p>
    <w:p w:rsidR="006923BF" w:rsidRDefault="006923BF" w:rsidP="006923BF">
      <w:pPr>
        <w:pStyle w:val="Akapitzlist"/>
        <w:spacing w:after="0" w:line="360" w:lineRule="auto"/>
        <w:ind w:left="0"/>
      </w:pPr>
    </w:p>
    <w:p w:rsidR="006923BF" w:rsidRPr="006923BF" w:rsidRDefault="006923BF" w:rsidP="00974320">
      <w:pPr>
        <w:pStyle w:val="Akapitzlist"/>
        <w:numPr>
          <w:ilvl w:val="0"/>
          <w:numId w:val="37"/>
        </w:numPr>
        <w:spacing w:after="0" w:line="360" w:lineRule="auto"/>
        <w:rPr>
          <w:b/>
        </w:rPr>
      </w:pPr>
      <w:r>
        <w:rPr>
          <w:b/>
        </w:rPr>
        <w:t>J</w:t>
      </w:r>
      <w:r w:rsidRPr="006923BF">
        <w:rPr>
          <w:b/>
        </w:rPr>
        <w:t>aki jest katalog kwalifikowanych kosztów operatorskich, które można rozliczać w ramach wydatków bezpośrednich? Czy możemy do niego zaliczyć następujące pozycje:</w:t>
      </w:r>
    </w:p>
    <w:p w:rsidR="006923BF" w:rsidRPr="006923BF" w:rsidRDefault="006923BF" w:rsidP="006923BF">
      <w:pPr>
        <w:pStyle w:val="Akapitzlist"/>
        <w:numPr>
          <w:ilvl w:val="1"/>
          <w:numId w:val="45"/>
        </w:numPr>
        <w:spacing w:after="0" w:line="360" w:lineRule="auto"/>
        <w:ind w:left="0"/>
        <w:rPr>
          <w:b/>
        </w:rPr>
      </w:pPr>
      <w:r w:rsidRPr="006923BF">
        <w:rPr>
          <w:b/>
        </w:rPr>
        <w:t xml:space="preserve">wynagrodzenia dla personelu merytorycznego prowadzącego działania związane z obsługą osób i usług np. z w zakresie diagnozy potrzeb, budowania motywacji, wsparcia w zakresie obsługi BUR, monitoringu usług, </w:t>
      </w:r>
      <w:r w:rsidRPr="006923BF">
        <w:rPr>
          <w:b/>
          <w:color w:val="000000"/>
        </w:rPr>
        <w:t>identyfikacji nabytych umiejętności/kompetencji oraz wsparcia w ich walidacji i certyfikacji</w:t>
      </w:r>
    </w:p>
    <w:p w:rsidR="006923BF" w:rsidRPr="006923BF" w:rsidRDefault="006923BF" w:rsidP="006923BF">
      <w:pPr>
        <w:pStyle w:val="Akapitzlist"/>
        <w:numPr>
          <w:ilvl w:val="1"/>
          <w:numId w:val="45"/>
        </w:numPr>
        <w:spacing w:after="0" w:line="360" w:lineRule="auto"/>
        <w:ind w:left="0"/>
        <w:rPr>
          <w:b/>
        </w:rPr>
      </w:pPr>
      <w:r w:rsidRPr="006923BF">
        <w:rPr>
          <w:b/>
          <w:color w:val="000000"/>
        </w:rPr>
        <w:t xml:space="preserve">usługi zewnętrzne </w:t>
      </w:r>
      <w:r w:rsidRPr="006923BF">
        <w:rPr>
          <w:b/>
        </w:rPr>
        <w:t xml:space="preserve">dla osób/podmiotów prowadzących działania związane z obsługą osób i usług np. z w zakresie diagnozy potrzeb, budowania motywacji, wsparcia w zakresie obsługi BUR, monitoringu usług, </w:t>
      </w:r>
      <w:r w:rsidRPr="006923BF">
        <w:rPr>
          <w:b/>
          <w:color w:val="000000"/>
        </w:rPr>
        <w:t>identyfikacji nabytych umiejętności/kompetencji oraz wsparcia w ich walidacji i certyfikacji</w:t>
      </w:r>
    </w:p>
    <w:p w:rsidR="006923BF" w:rsidRPr="006923BF" w:rsidRDefault="006923BF" w:rsidP="006923BF">
      <w:pPr>
        <w:pStyle w:val="Akapitzlist"/>
        <w:numPr>
          <w:ilvl w:val="1"/>
          <w:numId w:val="45"/>
        </w:numPr>
        <w:spacing w:after="0" w:line="360" w:lineRule="auto"/>
        <w:ind w:left="0"/>
        <w:rPr>
          <w:b/>
        </w:rPr>
      </w:pPr>
      <w:r w:rsidRPr="006923BF">
        <w:rPr>
          <w:b/>
          <w:color w:val="000000"/>
        </w:rPr>
        <w:t>zakup systemów informatycznych</w:t>
      </w:r>
    </w:p>
    <w:p w:rsidR="006923BF" w:rsidRPr="006923BF" w:rsidRDefault="006923BF" w:rsidP="006923BF">
      <w:pPr>
        <w:pStyle w:val="Akapitzlist"/>
        <w:numPr>
          <w:ilvl w:val="1"/>
          <w:numId w:val="45"/>
        </w:numPr>
        <w:spacing w:after="0" w:line="360" w:lineRule="auto"/>
        <w:ind w:left="0"/>
        <w:rPr>
          <w:b/>
        </w:rPr>
      </w:pPr>
      <w:r w:rsidRPr="006923BF">
        <w:rPr>
          <w:b/>
          <w:color w:val="000000"/>
        </w:rPr>
        <w:t>zakup sprzętu/środków trwałych niezbędnych do realizacji usług (np.: laptopy, telefony, wyposażenie biurowe typu drukarki?)?</w:t>
      </w:r>
    </w:p>
    <w:p w:rsidR="006923BF" w:rsidRPr="006923BF" w:rsidRDefault="006923BF" w:rsidP="006923BF">
      <w:pPr>
        <w:pStyle w:val="Akapitzlist"/>
        <w:numPr>
          <w:ilvl w:val="1"/>
          <w:numId w:val="45"/>
        </w:numPr>
        <w:spacing w:after="0" w:line="360" w:lineRule="auto"/>
        <w:ind w:left="0"/>
        <w:rPr>
          <w:b/>
        </w:rPr>
      </w:pPr>
      <w:r w:rsidRPr="006923BF">
        <w:rPr>
          <w:b/>
          <w:color w:val="000000"/>
        </w:rPr>
        <w:t>zakup środków transportu – samochody?</w:t>
      </w:r>
    </w:p>
    <w:p w:rsidR="006923BF" w:rsidRPr="006923BF" w:rsidRDefault="006923BF" w:rsidP="006923BF">
      <w:pPr>
        <w:pStyle w:val="Akapitzlist"/>
        <w:numPr>
          <w:ilvl w:val="1"/>
          <w:numId w:val="45"/>
        </w:numPr>
        <w:spacing w:after="0" w:line="360" w:lineRule="auto"/>
        <w:ind w:left="0"/>
        <w:rPr>
          <w:b/>
        </w:rPr>
      </w:pPr>
      <w:r w:rsidRPr="006923BF">
        <w:rPr>
          <w:b/>
          <w:color w:val="000000"/>
        </w:rPr>
        <w:t xml:space="preserve">zwrot kosztów dojazdu do uczestników projektu w celach wsparcia, diagnozy lub monitoringu (delegacja/paliwo, nocleg, dieta) </w:t>
      </w:r>
    </w:p>
    <w:p w:rsidR="006923BF" w:rsidRDefault="006923BF" w:rsidP="006923BF">
      <w:pPr>
        <w:spacing w:after="0" w:line="360" w:lineRule="auto"/>
      </w:pPr>
    </w:p>
    <w:p w:rsidR="006923BF" w:rsidRPr="008A2989" w:rsidRDefault="006923BF" w:rsidP="006923BF">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6923BF" w:rsidRDefault="006923BF" w:rsidP="006923BF">
      <w:pPr>
        <w:pStyle w:val="Akapitzlist"/>
        <w:spacing w:after="0" w:line="360" w:lineRule="auto"/>
        <w:ind w:left="0"/>
        <w:rPr>
          <w:bCs/>
        </w:rPr>
      </w:pPr>
      <w:r w:rsidRPr="006923BF">
        <w:rPr>
          <w:bCs/>
        </w:rPr>
        <w:t>Dla przedmiotowego konkursu nie został utworzony katalog kosztów operatorskich. Projektodawca samodzielnie planuje budżet projektu wskazując wydatki niezbędne do jego realizacji. Zakres działań i powiązanych z nimi wydatków wynika z obowiązków operatora wskazanych w podrozdziale 2.3.6 Regulaminu wyboru projektów. Należy przy tym pamiętać, że zaplanowane wydatki muszą być zasadne, racjonalne i kwalifikowalne, a więc spełniające warunki określone w Wytycznych dotyczących kwalifikowalności wydatków na lata 2021-2027. Jednocześnie przypominamy, iż w ramach przedmiotowego naboru nie przewiduje się wydatków w ramach cross-</w:t>
      </w:r>
      <w:proofErr w:type="spellStart"/>
      <w:r w:rsidRPr="006923BF">
        <w:rPr>
          <w:bCs/>
        </w:rPr>
        <w:t>financingu</w:t>
      </w:r>
      <w:proofErr w:type="spellEnd"/>
      <w:r w:rsidRPr="006923BF">
        <w:rPr>
          <w:bCs/>
        </w:rPr>
        <w:t>, a jednoznaczna ocena kwalifikowalności danego wydatku będzie możliwa po zapoznaniu się z treścią całego wniosku o dofinansowanie, tj. po jego złożeniu w ramach konkursu.</w:t>
      </w:r>
    </w:p>
    <w:p w:rsidR="00913E8D" w:rsidRDefault="00913E8D" w:rsidP="006923BF">
      <w:pPr>
        <w:pStyle w:val="Akapitzlist"/>
        <w:spacing w:after="0" w:line="360" w:lineRule="auto"/>
        <w:ind w:left="0"/>
        <w:rPr>
          <w:bCs/>
        </w:rPr>
      </w:pPr>
    </w:p>
    <w:p w:rsidR="00913E8D" w:rsidRPr="00913E8D" w:rsidRDefault="00913E8D" w:rsidP="00913E8D">
      <w:pPr>
        <w:pStyle w:val="Akapitzlist"/>
        <w:numPr>
          <w:ilvl w:val="0"/>
          <w:numId w:val="37"/>
        </w:numPr>
        <w:rPr>
          <w:b/>
        </w:rPr>
      </w:pPr>
      <w:r w:rsidRPr="00913E8D">
        <w:rPr>
          <w:b/>
        </w:rPr>
        <w:t xml:space="preserve">Czy koszty: </w:t>
      </w:r>
    </w:p>
    <w:p w:rsidR="00913E8D" w:rsidRPr="00913E8D" w:rsidRDefault="00913E8D" w:rsidP="00913E8D">
      <w:pPr>
        <w:rPr>
          <w:b/>
        </w:rPr>
      </w:pPr>
      <w:r w:rsidRPr="00913E8D">
        <w:rPr>
          <w:b/>
        </w:rPr>
        <w:t xml:space="preserve">-utworzenia i funkcjonowania punktów obsługi uczestników, w tym doradztwa w zakresie BUR, wypełniania dokumentacji (rekrutacja aktywna), </w:t>
      </w:r>
    </w:p>
    <w:p w:rsidR="00913E8D" w:rsidRPr="00913E8D" w:rsidRDefault="00913E8D" w:rsidP="00913E8D">
      <w:pPr>
        <w:rPr>
          <w:b/>
        </w:rPr>
      </w:pPr>
      <w:r w:rsidRPr="00913E8D">
        <w:rPr>
          <w:b/>
        </w:rPr>
        <w:t xml:space="preserve">-doradztwa zawodowego (bilans kompetencji) </w:t>
      </w:r>
    </w:p>
    <w:p w:rsidR="00913E8D" w:rsidRPr="00913E8D" w:rsidRDefault="00913E8D" w:rsidP="00913E8D">
      <w:pPr>
        <w:rPr>
          <w:b/>
        </w:rPr>
      </w:pPr>
      <w:r w:rsidRPr="00913E8D">
        <w:rPr>
          <w:b/>
        </w:rPr>
        <w:t xml:space="preserve">-monitoringu realizacji wsparcia </w:t>
      </w:r>
    </w:p>
    <w:p w:rsidR="00913E8D" w:rsidRPr="00913E8D" w:rsidRDefault="00913E8D" w:rsidP="00913E8D">
      <w:pPr>
        <w:rPr>
          <w:b/>
        </w:rPr>
      </w:pPr>
      <w:r w:rsidRPr="00913E8D">
        <w:rPr>
          <w:b/>
        </w:rPr>
        <w:lastRenderedPageBreak/>
        <w:t>-zapewnienia systemu IT na potrzeby obsługi procesu</w:t>
      </w:r>
    </w:p>
    <w:p w:rsidR="00913E8D" w:rsidRDefault="00913E8D" w:rsidP="00913E8D">
      <w:pPr>
        <w:spacing w:after="0" w:line="360" w:lineRule="auto"/>
        <w:rPr>
          <w:b/>
        </w:rPr>
      </w:pPr>
      <w:r w:rsidRPr="00913E8D">
        <w:rPr>
          <w:b/>
        </w:rPr>
        <w:t>można ująć w kosztach bezpośrednich, tak jak w innych województwach w przypadku PSF dla osób indywidualnych (np. łódzkie, śląskie, małopolskie)?</w:t>
      </w:r>
    </w:p>
    <w:p w:rsidR="00913E8D" w:rsidRDefault="00913E8D" w:rsidP="00913E8D">
      <w:pPr>
        <w:spacing w:after="0" w:line="360" w:lineRule="auto"/>
        <w:rPr>
          <w:b/>
        </w:rPr>
      </w:pPr>
    </w:p>
    <w:p w:rsidR="00913E8D" w:rsidRDefault="00913E8D" w:rsidP="00913E8D">
      <w:pPr>
        <w:spacing w:after="0" w:line="360" w:lineRule="auto"/>
        <w:rPr>
          <w:b/>
          <w:bCs/>
        </w:rPr>
      </w:pPr>
      <w:r w:rsidRPr="00913E8D">
        <w:rPr>
          <w:b/>
          <w:bCs/>
        </w:rPr>
        <w:t>Odpowiedź z 24.06.2024:</w:t>
      </w:r>
    </w:p>
    <w:p w:rsidR="00913E8D" w:rsidRDefault="00913E8D" w:rsidP="00913E8D">
      <w:pPr>
        <w:spacing w:after="0" w:line="360" w:lineRule="auto"/>
      </w:pPr>
      <w:r>
        <w:t xml:space="preserve">Wymienione koszty mogą zostać ujęte w kosztach bezpośrednich. Zakres działań i powiązanych z nimi wydatków wynika z obowiązków operatora wskazanych w podrozdziale 2.3.6 Regulaminu wyboru projektów. Należy przy tym pamiętać, że zaplanowane wydatki muszą być zasadne, racjonalne i kwalifikowalne, a więc spełniające warunki określone w </w:t>
      </w:r>
      <w:r>
        <w:rPr>
          <w:i/>
          <w:iCs/>
        </w:rPr>
        <w:t>Wytycznych dotyczących kwalifikowalności wydatków na lata 2021-2027</w:t>
      </w:r>
      <w:r>
        <w:t>. Jednocześnie przypominamy, że jednoznaczna ocena kwalifikowalności danego wydatku będzie możliwa po zapoznaniu się z treścią całego wniosku o dofinansowanie, tj. po jego złożeniu w ramach konkursu.</w:t>
      </w:r>
    </w:p>
    <w:p w:rsidR="00872580" w:rsidRDefault="00872580" w:rsidP="00913E8D">
      <w:pPr>
        <w:spacing w:after="0" w:line="360" w:lineRule="auto"/>
        <w:rPr>
          <w:b/>
          <w:bCs/>
        </w:rPr>
      </w:pPr>
    </w:p>
    <w:p w:rsidR="00BD44EE" w:rsidRPr="00BD44EE" w:rsidRDefault="00BD44EE" w:rsidP="00BD44EE">
      <w:pPr>
        <w:spacing w:after="0" w:line="360" w:lineRule="auto"/>
        <w:rPr>
          <w:b/>
          <w:color w:val="4472C4" w:themeColor="accent1"/>
        </w:rPr>
      </w:pPr>
      <w:bookmarkStart w:id="1" w:name="_GoBack"/>
      <w:bookmarkEnd w:id="1"/>
    </w:p>
    <w:sectPr w:rsidR="00BD44EE" w:rsidRPr="00BD44EE" w:rsidSect="00312C71">
      <w:pgSz w:w="11906" w:h="16838"/>
      <w:pgMar w:top="426"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7E" w:rsidRDefault="0032357E" w:rsidP="00E51A24">
      <w:pPr>
        <w:spacing w:after="0" w:line="240" w:lineRule="auto"/>
      </w:pPr>
      <w:r>
        <w:separator/>
      </w:r>
    </w:p>
  </w:endnote>
  <w:endnote w:type="continuationSeparator" w:id="0">
    <w:p w:rsidR="0032357E" w:rsidRDefault="0032357E" w:rsidP="00E5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7E" w:rsidRDefault="0032357E" w:rsidP="00E51A24">
      <w:pPr>
        <w:spacing w:after="0" w:line="240" w:lineRule="auto"/>
      </w:pPr>
      <w:r>
        <w:separator/>
      </w:r>
    </w:p>
  </w:footnote>
  <w:footnote w:type="continuationSeparator" w:id="0">
    <w:p w:rsidR="0032357E" w:rsidRDefault="0032357E" w:rsidP="00E51A24">
      <w:pPr>
        <w:spacing w:after="0" w:line="240" w:lineRule="auto"/>
      </w:pPr>
      <w:r>
        <w:continuationSeparator/>
      </w:r>
    </w:p>
  </w:footnote>
  <w:footnote w:id="1">
    <w:p w:rsidR="00E51A24" w:rsidRDefault="00E51A24" w:rsidP="00E51A24">
      <w:pPr>
        <w:pStyle w:val="Tekstprzypisudolnego"/>
      </w:pPr>
      <w:r>
        <w:rPr>
          <w:rStyle w:val="Odwoanieprzypisudolnego"/>
        </w:rPr>
        <w:t>[2]</w:t>
      </w:r>
      <w:r>
        <w:t xml:space="preserve"> Przez powiązania kapitałowe lub osobowe należy rozumieć powiązania, o których mowa w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64E"/>
    <w:multiLevelType w:val="hybridMultilevel"/>
    <w:tmpl w:val="C9B0F702"/>
    <w:lvl w:ilvl="0" w:tplc="AFA85E10">
      <w:start w:val="6"/>
      <w:numFmt w:val="decimal"/>
      <w:lvlText w:val="%1."/>
      <w:lvlJc w:val="left"/>
      <w:pPr>
        <w:ind w:left="177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D327B"/>
    <w:multiLevelType w:val="hybridMultilevel"/>
    <w:tmpl w:val="801C3A28"/>
    <w:lvl w:ilvl="0" w:tplc="0EE0F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A4A71"/>
    <w:multiLevelType w:val="hybridMultilevel"/>
    <w:tmpl w:val="9CF047D6"/>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D432C"/>
    <w:multiLevelType w:val="multilevel"/>
    <w:tmpl w:val="5806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C1639"/>
    <w:multiLevelType w:val="hybridMultilevel"/>
    <w:tmpl w:val="57D85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A64CB"/>
    <w:multiLevelType w:val="multilevel"/>
    <w:tmpl w:val="2C08B4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2061ED"/>
    <w:multiLevelType w:val="hybridMultilevel"/>
    <w:tmpl w:val="0526F822"/>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F3689"/>
    <w:multiLevelType w:val="hybridMultilevel"/>
    <w:tmpl w:val="A8265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21C23"/>
    <w:multiLevelType w:val="hybridMultilevel"/>
    <w:tmpl w:val="CD78FEF4"/>
    <w:lvl w:ilvl="0" w:tplc="93EC57D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7E7CB3"/>
    <w:multiLevelType w:val="hybridMultilevel"/>
    <w:tmpl w:val="24D09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57F27"/>
    <w:multiLevelType w:val="hybridMultilevel"/>
    <w:tmpl w:val="B6044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D78BC"/>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20EFE"/>
    <w:multiLevelType w:val="hybridMultilevel"/>
    <w:tmpl w:val="AC92E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205B9"/>
    <w:multiLevelType w:val="hybridMultilevel"/>
    <w:tmpl w:val="E70A299A"/>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20DA4"/>
    <w:multiLevelType w:val="hybridMultilevel"/>
    <w:tmpl w:val="D7C0580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74C3E7A"/>
    <w:multiLevelType w:val="hybridMultilevel"/>
    <w:tmpl w:val="DE14563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4C14E2"/>
    <w:multiLevelType w:val="hybridMultilevel"/>
    <w:tmpl w:val="6DBEB072"/>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980C11"/>
    <w:multiLevelType w:val="hybridMultilevel"/>
    <w:tmpl w:val="4E8CA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840361"/>
    <w:multiLevelType w:val="hybridMultilevel"/>
    <w:tmpl w:val="B136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74886"/>
    <w:multiLevelType w:val="hybridMultilevel"/>
    <w:tmpl w:val="BA201540"/>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63731"/>
    <w:multiLevelType w:val="hybridMultilevel"/>
    <w:tmpl w:val="6964AB2A"/>
    <w:lvl w:ilvl="0" w:tplc="76E83D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0C10B44"/>
    <w:multiLevelType w:val="hybridMultilevel"/>
    <w:tmpl w:val="0E24E10E"/>
    <w:lvl w:ilvl="0" w:tplc="7B3638C4">
      <w:start w:val="1"/>
      <w:numFmt w:val="ordinal"/>
      <w:lvlText w:val="4.%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6C283E"/>
    <w:multiLevelType w:val="hybridMultilevel"/>
    <w:tmpl w:val="F4FE75D2"/>
    <w:lvl w:ilvl="0" w:tplc="CD7C9792">
      <w:start w:val="6"/>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52BAE"/>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D86F39"/>
    <w:multiLevelType w:val="hybridMultilevel"/>
    <w:tmpl w:val="6E8ECE64"/>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6FB0CFB"/>
    <w:multiLevelType w:val="hybridMultilevel"/>
    <w:tmpl w:val="523C2602"/>
    <w:lvl w:ilvl="0" w:tplc="DCFE8922">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921607"/>
    <w:multiLevelType w:val="hybridMultilevel"/>
    <w:tmpl w:val="99106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AA7054"/>
    <w:multiLevelType w:val="hybridMultilevel"/>
    <w:tmpl w:val="0EE83F3E"/>
    <w:lvl w:ilvl="0" w:tplc="0938243C">
      <w:start w:val="6"/>
      <w:numFmt w:val="decimal"/>
      <w:lvlText w:val="%1."/>
      <w:lvlJc w:val="left"/>
      <w:pPr>
        <w:ind w:left="248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43466"/>
    <w:multiLevelType w:val="hybridMultilevel"/>
    <w:tmpl w:val="B5AC1B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282DEE"/>
    <w:multiLevelType w:val="hybridMultilevel"/>
    <w:tmpl w:val="A260BC8C"/>
    <w:lvl w:ilvl="0" w:tplc="885A746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F6D7744"/>
    <w:multiLevelType w:val="hybridMultilevel"/>
    <w:tmpl w:val="7CFE9D86"/>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4D7082"/>
    <w:multiLevelType w:val="hybridMultilevel"/>
    <w:tmpl w:val="A064AC46"/>
    <w:lvl w:ilvl="0" w:tplc="49F00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97A0478"/>
    <w:multiLevelType w:val="hybridMultilevel"/>
    <w:tmpl w:val="5922E6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B9C6BFD"/>
    <w:multiLevelType w:val="hybridMultilevel"/>
    <w:tmpl w:val="528C2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46941"/>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AC2788"/>
    <w:multiLevelType w:val="hybridMultilevel"/>
    <w:tmpl w:val="968034A0"/>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CC3FA7"/>
    <w:multiLevelType w:val="multilevel"/>
    <w:tmpl w:val="5798B8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571A28"/>
    <w:multiLevelType w:val="hybridMultilevel"/>
    <w:tmpl w:val="F0FC7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A034CF"/>
    <w:multiLevelType w:val="hybridMultilevel"/>
    <w:tmpl w:val="525E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442942"/>
    <w:multiLevelType w:val="hybridMultilevel"/>
    <w:tmpl w:val="29E24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214FF3"/>
    <w:multiLevelType w:val="hybridMultilevel"/>
    <w:tmpl w:val="C5C21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A981E99"/>
    <w:multiLevelType w:val="hybridMultilevel"/>
    <w:tmpl w:val="13E803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AC842B6"/>
    <w:multiLevelType w:val="hybridMultilevel"/>
    <w:tmpl w:val="08D88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6BA617D6"/>
    <w:multiLevelType w:val="hybridMultilevel"/>
    <w:tmpl w:val="3768E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E64F88"/>
    <w:multiLevelType w:val="hybridMultilevel"/>
    <w:tmpl w:val="C9BCD5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1B44D66"/>
    <w:multiLevelType w:val="hybridMultilevel"/>
    <w:tmpl w:val="0D221C6A"/>
    <w:lvl w:ilvl="0" w:tplc="98BE4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BA638E"/>
    <w:multiLevelType w:val="hybridMultilevel"/>
    <w:tmpl w:val="23F24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767C7E"/>
    <w:multiLevelType w:val="hybridMultilevel"/>
    <w:tmpl w:val="A29EF6AE"/>
    <w:lvl w:ilvl="0" w:tplc="DCFE8922">
      <w:start w:val="1"/>
      <w:numFmt w:val="decimal"/>
      <w:lvlText w:val="%1."/>
      <w:lvlJc w:val="left"/>
      <w:pPr>
        <w:ind w:left="1080" w:hanging="360"/>
      </w:pPr>
      <w:rPr>
        <w:rFonts w:eastAsia="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6AE489D"/>
    <w:multiLevelType w:val="hybridMultilevel"/>
    <w:tmpl w:val="F13AFBB6"/>
    <w:lvl w:ilvl="0" w:tplc="49F005C4">
      <w:start w:val="1"/>
      <w:numFmt w:val="decimal"/>
      <w:lvlText w:val="%1."/>
      <w:lvlJc w:val="left"/>
      <w:pPr>
        <w:ind w:left="178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D9459EF"/>
    <w:multiLevelType w:val="hybridMultilevel"/>
    <w:tmpl w:val="ABA0B0DE"/>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
  </w:num>
  <w:num w:numId="2">
    <w:abstractNumId w:val="11"/>
  </w:num>
  <w:num w:numId="3">
    <w:abstractNumId w:val="14"/>
  </w:num>
  <w:num w:numId="4">
    <w:abstractNumId w:val="41"/>
  </w:num>
  <w:num w:numId="5">
    <w:abstractNumId w:val="34"/>
  </w:num>
  <w:num w:numId="6">
    <w:abstractNumId w:val="3"/>
  </w:num>
  <w:num w:numId="7">
    <w:abstractNumId w:val="32"/>
  </w:num>
  <w:num w:numId="8">
    <w:abstractNumId w:val="45"/>
  </w:num>
  <w:num w:numId="9">
    <w:abstractNumId w:val="26"/>
  </w:num>
  <w:num w:numId="10">
    <w:abstractNumId w:val="18"/>
  </w:num>
  <w:num w:numId="11">
    <w:abstractNumId w:val="42"/>
  </w:num>
  <w:num w:numId="12">
    <w:abstractNumId w:val="33"/>
  </w:num>
  <w:num w:numId="13">
    <w:abstractNumId w:val="28"/>
  </w:num>
  <w:num w:numId="14">
    <w:abstractNumId w:val="10"/>
  </w:num>
  <w:num w:numId="15">
    <w:abstractNumId w:val="39"/>
  </w:num>
  <w:num w:numId="16">
    <w:abstractNumId w:val="38"/>
  </w:num>
  <w:num w:numId="17">
    <w:abstractNumId w:val="44"/>
  </w:num>
  <w:num w:numId="18">
    <w:abstractNumId w:val="31"/>
  </w:num>
  <w:num w:numId="19">
    <w:abstractNumId w:val="48"/>
  </w:num>
  <w:num w:numId="20">
    <w:abstractNumId w:val="1"/>
  </w:num>
  <w:num w:numId="21">
    <w:abstractNumId w:val="20"/>
  </w:num>
  <w:num w:numId="22">
    <w:abstractNumId w:val="24"/>
  </w:num>
  <w:num w:numId="23">
    <w:abstractNumId w:val="25"/>
  </w:num>
  <w:num w:numId="24">
    <w:abstractNumId w:val="47"/>
  </w:num>
  <w:num w:numId="25">
    <w:abstractNumId w:val="21"/>
  </w:num>
  <w:num w:numId="26">
    <w:abstractNumId w:val="49"/>
  </w:num>
  <w:num w:numId="27">
    <w:abstractNumId w:val="16"/>
  </w:num>
  <w:num w:numId="28">
    <w:abstractNumId w:val="22"/>
  </w:num>
  <w:num w:numId="29">
    <w:abstractNumId w:val="0"/>
  </w:num>
  <w:num w:numId="30">
    <w:abstractNumId w:val="27"/>
  </w:num>
  <w:num w:numId="31">
    <w:abstractNumId w:val="13"/>
  </w:num>
  <w:num w:numId="32">
    <w:abstractNumId w:val="35"/>
  </w:num>
  <w:num w:numId="33">
    <w:abstractNumId w:val="23"/>
  </w:num>
  <w:num w:numId="34">
    <w:abstractNumId w:val="37"/>
  </w:num>
  <w:num w:numId="35">
    <w:abstractNumId w:val="36"/>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46"/>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43"/>
  </w:num>
  <w:num w:numId="43">
    <w:abstractNumId w:val="7"/>
  </w:num>
  <w:num w:numId="4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6"/>
  </w:num>
  <w:num w:numId="47">
    <w:abstractNumId w:val="30"/>
  </w:num>
  <w:num w:numId="48">
    <w:abstractNumId w:val="4"/>
  </w:num>
  <w:num w:numId="49">
    <w:abstractNumId w:val="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8"/>
    <w:docVar w:name="LE_Links" w:val="{D76E23D4-DD8E-442C-9DDF-6A35D42B8673}"/>
  </w:docVars>
  <w:rsids>
    <w:rsidRoot w:val="00052937"/>
    <w:rsid w:val="00010B2C"/>
    <w:rsid w:val="000133A3"/>
    <w:rsid w:val="00052937"/>
    <w:rsid w:val="000C36B3"/>
    <w:rsid w:val="0014097E"/>
    <w:rsid w:val="0019634B"/>
    <w:rsid w:val="001D08A2"/>
    <w:rsid w:val="00312C71"/>
    <w:rsid w:val="0032357E"/>
    <w:rsid w:val="003B4889"/>
    <w:rsid w:val="003C7C37"/>
    <w:rsid w:val="0057250A"/>
    <w:rsid w:val="005913D3"/>
    <w:rsid w:val="00597223"/>
    <w:rsid w:val="0061735B"/>
    <w:rsid w:val="00617889"/>
    <w:rsid w:val="00625671"/>
    <w:rsid w:val="00690E64"/>
    <w:rsid w:val="006923BF"/>
    <w:rsid w:val="006E4350"/>
    <w:rsid w:val="006E6D3A"/>
    <w:rsid w:val="007459EA"/>
    <w:rsid w:val="007A3DC0"/>
    <w:rsid w:val="007D2BFF"/>
    <w:rsid w:val="008122A4"/>
    <w:rsid w:val="00845811"/>
    <w:rsid w:val="0085797D"/>
    <w:rsid w:val="00872580"/>
    <w:rsid w:val="008A2989"/>
    <w:rsid w:val="008E38A4"/>
    <w:rsid w:val="0090180B"/>
    <w:rsid w:val="00913E8D"/>
    <w:rsid w:val="00974320"/>
    <w:rsid w:val="00A0103F"/>
    <w:rsid w:val="00A1228A"/>
    <w:rsid w:val="00A5067C"/>
    <w:rsid w:val="00A63EB5"/>
    <w:rsid w:val="00A97B6B"/>
    <w:rsid w:val="00AD1BAF"/>
    <w:rsid w:val="00B337F6"/>
    <w:rsid w:val="00B62776"/>
    <w:rsid w:val="00B81240"/>
    <w:rsid w:val="00B8257D"/>
    <w:rsid w:val="00BD44EE"/>
    <w:rsid w:val="00C867EE"/>
    <w:rsid w:val="00C87AEC"/>
    <w:rsid w:val="00C97BD5"/>
    <w:rsid w:val="00CC3ADB"/>
    <w:rsid w:val="00CF68FE"/>
    <w:rsid w:val="00D12332"/>
    <w:rsid w:val="00D15E24"/>
    <w:rsid w:val="00D25F4B"/>
    <w:rsid w:val="00DB157B"/>
    <w:rsid w:val="00DE1EA6"/>
    <w:rsid w:val="00E51A24"/>
    <w:rsid w:val="00E55758"/>
    <w:rsid w:val="00E559DC"/>
    <w:rsid w:val="00E7062A"/>
    <w:rsid w:val="00E737A1"/>
    <w:rsid w:val="00EC1C7C"/>
    <w:rsid w:val="00F06633"/>
    <w:rsid w:val="00F36859"/>
    <w:rsid w:val="00F53C39"/>
    <w:rsid w:val="00F6494D"/>
    <w:rsid w:val="00FA06BD"/>
    <w:rsid w:val="00FA3A9D"/>
    <w:rsid w:val="00FB6B6D"/>
    <w:rsid w:val="00FD7361"/>
    <w:rsid w:val="00FF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2E2AF-FFA8-4C21-8C56-E6E30F8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3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0C36B3"/>
    <w:pPr>
      <w:ind w:left="720"/>
      <w:contextualSpacing/>
    </w:pPr>
  </w:style>
  <w:style w:type="character" w:styleId="Hipercze">
    <w:name w:val="Hyperlink"/>
    <w:basedOn w:val="Domylnaczcionkaakapitu"/>
    <w:uiPriority w:val="99"/>
    <w:unhideWhenUsed/>
    <w:rsid w:val="00B62776"/>
    <w:rPr>
      <w:color w:val="0563C1" w:themeColor="hyperlink"/>
      <w:u w:val="single"/>
    </w:rPr>
  </w:style>
  <w:style w:type="character" w:styleId="Nierozpoznanawzmianka">
    <w:name w:val="Unresolved Mention"/>
    <w:basedOn w:val="Domylnaczcionkaakapitu"/>
    <w:uiPriority w:val="99"/>
    <w:semiHidden/>
    <w:unhideWhenUsed/>
    <w:rsid w:val="00B62776"/>
    <w:rPr>
      <w:color w:val="605E5C"/>
      <w:shd w:val="clear" w:color="auto" w:fill="E1DFDD"/>
    </w:rPr>
  </w:style>
  <w:style w:type="character" w:customStyle="1" w:styleId="Nagwek1Znak">
    <w:name w:val="Nagłówek 1 Znak"/>
    <w:basedOn w:val="Domylnaczcionkaakapitu"/>
    <w:link w:val="Nagwek1"/>
    <w:uiPriority w:val="9"/>
    <w:rsid w:val="00E737A1"/>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E51A24"/>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51A24"/>
    <w:rPr>
      <w:rFonts w:ascii="Calibri" w:hAnsi="Calibri" w:cs="Calibri"/>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E51A24"/>
    <w:rPr>
      <w:vertAlign w:val="superscript"/>
    </w:rPr>
  </w:style>
  <w:style w:type="paragraph" w:styleId="NormalnyWeb">
    <w:name w:val="Normal (Web)"/>
    <w:basedOn w:val="Normalny"/>
    <w:uiPriority w:val="99"/>
    <w:semiHidden/>
    <w:unhideWhenUsed/>
    <w:rsid w:val="00B81240"/>
    <w:pPr>
      <w:spacing w:before="100" w:beforeAutospacing="1" w:after="100" w:afterAutospacing="1" w:line="240" w:lineRule="auto"/>
    </w:pPr>
    <w:rPr>
      <w:rFonts w:ascii="Calibri" w:hAnsi="Calibri" w:cs="Calibri"/>
      <w:lang w:eastAsia="pl-PL"/>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qFormat/>
    <w:locked/>
    <w:rsid w:val="00845811"/>
  </w:style>
  <w:style w:type="paragraph" w:styleId="Tekstpodstawowy">
    <w:name w:val="Body Text"/>
    <w:basedOn w:val="Normalny"/>
    <w:link w:val="TekstpodstawowyZnak"/>
    <w:uiPriority w:val="99"/>
    <w:semiHidden/>
    <w:unhideWhenUsed/>
    <w:rsid w:val="00BD44EE"/>
    <w:pPr>
      <w:spacing w:after="0" w:line="240" w:lineRule="auto"/>
      <w:jc w:val="both"/>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BD44EE"/>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04155">
      <w:bodyDiv w:val="1"/>
      <w:marLeft w:val="0"/>
      <w:marRight w:val="0"/>
      <w:marTop w:val="0"/>
      <w:marBottom w:val="0"/>
      <w:divBdr>
        <w:top w:val="none" w:sz="0" w:space="0" w:color="auto"/>
        <w:left w:val="none" w:sz="0" w:space="0" w:color="auto"/>
        <w:bottom w:val="none" w:sz="0" w:space="0" w:color="auto"/>
        <w:right w:val="none" w:sz="0" w:space="0" w:color="auto"/>
      </w:divBdr>
    </w:div>
    <w:div w:id="1088385795">
      <w:bodyDiv w:val="1"/>
      <w:marLeft w:val="0"/>
      <w:marRight w:val="0"/>
      <w:marTop w:val="0"/>
      <w:marBottom w:val="0"/>
      <w:divBdr>
        <w:top w:val="none" w:sz="0" w:space="0" w:color="auto"/>
        <w:left w:val="none" w:sz="0" w:space="0" w:color="auto"/>
        <w:bottom w:val="none" w:sz="0" w:space="0" w:color="auto"/>
        <w:right w:val="none" w:sz="0" w:space="0" w:color="auto"/>
      </w:divBdr>
    </w:div>
    <w:div w:id="1690452935">
      <w:bodyDiv w:val="1"/>
      <w:marLeft w:val="0"/>
      <w:marRight w:val="0"/>
      <w:marTop w:val="0"/>
      <w:marBottom w:val="0"/>
      <w:divBdr>
        <w:top w:val="none" w:sz="0" w:space="0" w:color="auto"/>
        <w:left w:val="none" w:sz="0" w:space="0" w:color="auto"/>
        <w:bottom w:val="none" w:sz="0" w:space="0" w:color="auto"/>
        <w:right w:val="none" w:sz="0" w:space="0" w:color="auto"/>
      </w:divBdr>
    </w:div>
    <w:div w:id="18656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trudnienie.ef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23D4-DD8E-442C-9DDF-6A35D42B8673}">
  <ds:schemaRefs>
    <ds:schemaRef ds:uri="http://www.w3.org/2001/XMLSchema"/>
  </ds:schemaRefs>
</ds:datastoreItem>
</file>

<file path=customXml/itemProps2.xml><?xml version="1.0" encoding="utf-8"?>
<ds:datastoreItem xmlns:ds="http://schemas.openxmlformats.org/officeDocument/2006/customXml" ds:itemID="{213C7482-2C29-4510-9950-D89BF278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2298</Words>
  <Characters>13792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Spanily Marta</dc:creator>
  <cp:keywords/>
  <dc:description/>
  <cp:lastModifiedBy>Mojek Daria</cp:lastModifiedBy>
  <cp:revision>7</cp:revision>
  <dcterms:created xsi:type="dcterms:W3CDTF">2024-06-25T05:40:00Z</dcterms:created>
  <dcterms:modified xsi:type="dcterms:W3CDTF">2024-06-25T08:25:00Z</dcterms:modified>
</cp:coreProperties>
</file>