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19634B">
      <w:pPr>
        <w:shd w:val="clear" w:color="auto" w:fill="FFFFFF"/>
        <w:spacing w:after="100" w:afterAutospacing="1" w:line="360" w:lineRule="auto"/>
        <w:rPr>
          <w:rFonts w:eastAsia="Times New Roman" w:cstheme="minorHAnsi"/>
          <w:b/>
          <w:bCs/>
          <w:color w:val="4472C4" w:themeColor="accent1"/>
          <w:lang w:eastAsia="pl-PL"/>
        </w:rPr>
      </w:pPr>
      <w:r w:rsidRPr="0019634B">
        <w:rPr>
          <w:rFonts w:eastAsia="Times New Roman" w:cstheme="minorHAnsi"/>
          <w:b/>
          <w:bCs/>
          <w:color w:val="4472C4" w:themeColor="accent1"/>
          <w:lang w:eastAsia="pl-PL"/>
        </w:rPr>
        <w:t>WNOSKODAWCA</w:t>
      </w:r>
      <w:r w:rsidR="00C867EE" w:rsidRPr="0019634B">
        <w:rPr>
          <w:rFonts w:eastAsia="Times New Roman" w:cstheme="minorHAnsi"/>
          <w:b/>
          <w:bCs/>
          <w:color w:val="4472C4" w:themeColor="accent1"/>
          <w:lang w:eastAsia="pl-PL"/>
        </w:rPr>
        <w:t>:</w:t>
      </w:r>
    </w:p>
    <w:p w:rsidR="00E51A24" w:rsidRPr="0019634B" w:rsidRDefault="00E51A24" w:rsidP="00CA037C">
      <w:pPr>
        <w:pStyle w:val="Akapitzlist"/>
        <w:numPr>
          <w:ilvl w:val="0"/>
          <w:numId w:val="1"/>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D25F4B" w:rsidRDefault="00A63EB5" w:rsidP="0019634B">
      <w:pPr>
        <w:spacing w:line="360" w:lineRule="auto"/>
        <w:rPr>
          <w:rFonts w:cstheme="minorHAnsi"/>
          <w:b/>
        </w:rPr>
      </w:pPr>
      <w:r w:rsidRPr="00D25F4B">
        <w:rPr>
          <w:rFonts w:cstheme="minorHAnsi"/>
          <w:b/>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19634B">
      <w:pPr>
        <w:spacing w:line="360" w:lineRule="auto"/>
        <w:rPr>
          <w:rFonts w:cstheme="minorHAnsi"/>
          <w:b/>
          <w:color w:val="4472C4" w:themeColor="accent1"/>
        </w:rPr>
      </w:pPr>
      <w:r w:rsidRPr="0019634B">
        <w:rPr>
          <w:rFonts w:cstheme="minorHAnsi"/>
          <w:b/>
          <w:color w:val="4472C4" w:themeColor="accent1"/>
        </w:rPr>
        <w:t>GRUPA DOCELOWA:</w:t>
      </w:r>
    </w:p>
    <w:p w:rsidR="00E51A24" w:rsidRPr="0019634B" w:rsidRDefault="00E51A24" w:rsidP="00CA037C">
      <w:pPr>
        <w:pStyle w:val="Akapitzlist"/>
        <w:numPr>
          <w:ilvl w:val="0"/>
          <w:numId w:val="2"/>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D25F4B" w:rsidRDefault="00A63EB5" w:rsidP="0019634B">
      <w:pPr>
        <w:spacing w:line="360" w:lineRule="auto"/>
        <w:rPr>
          <w:rFonts w:cstheme="minorHAnsi"/>
          <w:b/>
        </w:rPr>
      </w:pPr>
      <w:r w:rsidRPr="00D25F4B">
        <w:rPr>
          <w:rFonts w:cstheme="minorHAnsi"/>
          <w:b/>
        </w:rPr>
        <w:t xml:space="preserve">Odpowiedź z 03.06.2024: </w:t>
      </w:r>
      <w:r w:rsidR="00E51A24" w:rsidRPr="00D25F4B">
        <w:rPr>
          <w:rFonts w:cstheme="minorHAnsi"/>
          <w:b/>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B81240"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B81240" w:rsidRPr="00B81240" w:rsidRDefault="00B81240" w:rsidP="00CA037C">
      <w:pPr>
        <w:pStyle w:val="NormalnyWeb"/>
        <w:numPr>
          <w:ilvl w:val="0"/>
          <w:numId w:val="2"/>
        </w:numPr>
        <w:spacing w:before="0" w:beforeAutospacing="0" w:after="0" w:afterAutospacing="0" w:line="360" w:lineRule="auto"/>
        <w:ind w:left="708" w:firstLine="0"/>
        <w:rPr>
          <w:rFonts w:asciiTheme="minorHAnsi" w:hAnsiTheme="minorHAnsi" w:cstheme="minorHAnsi"/>
          <w:b/>
        </w:rPr>
      </w:pPr>
      <w:r w:rsidRPr="00B81240">
        <w:rPr>
          <w:rFonts w:asciiTheme="minorHAnsi" w:hAnsiTheme="minorHAnsi" w:cstheme="minorHAnsi"/>
          <w:b/>
        </w:rPr>
        <w:t xml:space="preserve">Zgodnie z regulaminem projektu </w:t>
      </w:r>
      <w:r w:rsidRPr="00B81240">
        <w:rPr>
          <w:rFonts w:asciiTheme="minorHAnsi" w:hAnsiTheme="minorHAnsi" w:cstheme="minorHAnsi"/>
          <w:b/>
          <w:color w:val="000000"/>
        </w:rPr>
        <w:t>wsparcie w ramach Działania 5.9. FEP Kształcenie ustawiczne – usługi rozwojowe udzielane jest osobom dorosłym, które chcą z własnej inicjatywy podnieść lub zmienić swoje kwalifikacje. Wsparciem mogą zostać objęte tylko osoby fizyczne mające miejsce zamieszkania w rozumieniu ustawy z dnia 23 kwietnia 1964 roku Kodeks cywilny lub pracujące albo uczące się na terenie województwa pomorskiego.</w:t>
      </w:r>
    </w:p>
    <w:p w:rsidR="00B81240" w:rsidRPr="00B81240" w:rsidRDefault="00B81240" w:rsidP="00CF68FE">
      <w:pPr>
        <w:pStyle w:val="NormalnyWeb"/>
        <w:spacing w:before="0" w:beforeAutospacing="0" w:after="0" w:afterAutospacing="0" w:line="360" w:lineRule="auto"/>
        <w:ind w:left="708"/>
        <w:rPr>
          <w:rFonts w:asciiTheme="minorHAnsi" w:hAnsiTheme="minorHAnsi" w:cstheme="minorHAnsi"/>
          <w:b/>
        </w:rPr>
      </w:pPr>
      <w:r w:rsidRPr="00B81240">
        <w:rPr>
          <w:rFonts w:asciiTheme="minorHAnsi" w:hAnsiTheme="minorHAnsi" w:cstheme="minorHAnsi"/>
          <w:b/>
          <w:color w:val="000000"/>
        </w:rPr>
        <w:t xml:space="preserve">Z drugiej natomiast strony zgodnie z informacjami uzyskanymi na spotkaniu informacyjnym dnia 10.06.2024r. w projekcie nie może być udzielana pomoc de </w:t>
      </w:r>
      <w:proofErr w:type="spellStart"/>
      <w:r w:rsidRPr="00B81240">
        <w:rPr>
          <w:rFonts w:asciiTheme="minorHAnsi" w:hAnsiTheme="minorHAnsi" w:cstheme="minorHAnsi"/>
          <w:b/>
          <w:color w:val="000000"/>
        </w:rPr>
        <w:t>minimis</w:t>
      </w:r>
      <w:proofErr w:type="spellEnd"/>
      <w:r w:rsidRPr="00B81240">
        <w:rPr>
          <w:rFonts w:asciiTheme="minorHAnsi" w:hAnsiTheme="minorHAnsi" w:cstheme="minorHAnsi"/>
          <w:b/>
          <w:color w:val="000000"/>
        </w:rPr>
        <w:t xml:space="preserve"> ani pomoc publiczna.</w:t>
      </w:r>
    </w:p>
    <w:p w:rsidR="00B81240" w:rsidRDefault="00B81240" w:rsidP="00CF68FE">
      <w:pPr>
        <w:spacing w:after="0" w:line="360" w:lineRule="auto"/>
        <w:ind w:left="708"/>
        <w:rPr>
          <w:rFonts w:cstheme="minorHAnsi"/>
          <w:b/>
          <w:color w:val="000000"/>
        </w:rPr>
      </w:pPr>
      <w:r w:rsidRPr="00B81240">
        <w:rPr>
          <w:rFonts w:cstheme="minorHAnsi"/>
          <w:b/>
          <w:color w:val="000000"/>
        </w:rPr>
        <w:t xml:space="preserve">Czy zatem w świetle powyższego </w:t>
      </w:r>
      <w:r w:rsidRPr="00B81240">
        <w:rPr>
          <w:rFonts w:cstheme="minorHAnsi"/>
          <w:b/>
          <w:bCs/>
          <w:color w:val="000000"/>
          <w:u w:val="single"/>
        </w:rPr>
        <w:t>osoby fizyczne</w:t>
      </w:r>
      <w:r w:rsidRPr="00B81240">
        <w:rPr>
          <w:rFonts w:cstheme="minorHAnsi"/>
          <w:b/>
          <w:color w:val="000000"/>
        </w:rPr>
        <w:t xml:space="preserve"> prowadzące działalność gospodarczą (jednoosobową), w tym osoby z działalnością zawieszą, a takowe mogą być zatrudnione w innych przedsiębiorstwach lub zarejestrowane jako osoby bezrobotne (art. 2 ust. 2 pkt. F ustawy o promocji zatrudnienia i instytucjach rynku pracy) bazując na wyjaśnieniach UOKIK są wyłączone ze wsparcia i fakt, ten winien podlegać weryfikacji na etapie rekrutacji. Czy może należy weryfikować powiązanie zakresu tematycznego szkolenia i profilu prowadzonej dzielności i jeśli takowe nie występuje osobę, taką możemy zakwalifikować do udziału w projekcie.</w:t>
      </w:r>
    </w:p>
    <w:p w:rsidR="00D25F4B" w:rsidRDefault="00D25F4B" w:rsidP="00B81240">
      <w:pPr>
        <w:spacing w:after="0" w:line="360" w:lineRule="auto"/>
        <w:rPr>
          <w:rFonts w:cstheme="minorHAnsi"/>
          <w:b/>
        </w:rPr>
      </w:pPr>
    </w:p>
    <w:p w:rsidR="00B81240" w:rsidRPr="00D25F4B" w:rsidRDefault="00B81240" w:rsidP="00B81240">
      <w:pPr>
        <w:spacing w:after="0" w:line="360" w:lineRule="auto"/>
        <w:rPr>
          <w:rFonts w:cstheme="minorHAnsi"/>
          <w:b/>
        </w:rPr>
      </w:pPr>
      <w:r w:rsidRPr="00D25F4B">
        <w:rPr>
          <w:rFonts w:cstheme="minorHAnsi"/>
          <w:b/>
        </w:rPr>
        <w:t>Odpowiedź z 12.06.2024:</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color w:val="000000"/>
        </w:rPr>
      </w:pPr>
      <w:r w:rsidRPr="00A964C7">
        <w:rPr>
          <w:rFonts w:asciiTheme="minorHAnsi" w:hAnsiTheme="minorHAnsi" w:cstheme="minorHAnsi"/>
          <w:color w:val="000000"/>
        </w:rPr>
        <w:t xml:space="preserve">Na spotkaniu informacyjnym w dniu 10.06.2024r. podano informację, iż z uwagi na specyfikę grupy docelowej, w projekcie nie powinna wystąpić pomoc publiczna/pomoc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color w:val="000000"/>
        </w:rPr>
        <w:t xml:space="preserve">, co nie wyklucza sytuacji, że może ona wystąpić. </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rPr>
      </w:pPr>
      <w:r w:rsidRPr="00A964C7">
        <w:rPr>
          <w:rFonts w:asciiTheme="minorHAnsi" w:hAnsiTheme="minorHAnsi" w:cstheme="minorHAnsi"/>
        </w:rPr>
        <w:t xml:space="preserve">Osoby fizyczne prowadzące działalność gospodarczą (jednoosobową), w tym osoby z działalnością zawieszoną nie są wyłączone ze wsparcia w ramach Działania 5.9. Niemniej jednak, w kontekście możliwości wystąpienia pomocy publicznej/pomocy </w:t>
      </w:r>
      <w:r w:rsidRPr="00A964C7">
        <w:rPr>
          <w:rFonts w:asciiTheme="minorHAnsi" w:hAnsiTheme="minorHAnsi" w:cstheme="minorHAnsi"/>
          <w:i/>
          <w:iCs/>
        </w:rPr>
        <w:t xml:space="preserve">de </w:t>
      </w:r>
      <w:proofErr w:type="spellStart"/>
      <w:r w:rsidRPr="00A964C7">
        <w:rPr>
          <w:rFonts w:asciiTheme="minorHAnsi" w:hAnsiTheme="minorHAnsi" w:cstheme="minorHAnsi"/>
          <w:i/>
          <w:iCs/>
        </w:rPr>
        <w:t>minimis</w:t>
      </w:r>
      <w:proofErr w:type="spellEnd"/>
      <w:r w:rsidRPr="00A964C7">
        <w:rPr>
          <w:rFonts w:asciiTheme="minorHAnsi" w:hAnsiTheme="minorHAnsi" w:cstheme="minorHAnsi"/>
        </w:rPr>
        <w:t xml:space="preserve">, to operator jest zobowiązany do zweryfikowania, czy istnieje </w:t>
      </w:r>
      <w:r w:rsidRPr="00A964C7">
        <w:rPr>
          <w:rFonts w:asciiTheme="minorHAnsi" w:hAnsiTheme="minorHAnsi" w:cstheme="minorHAnsi"/>
          <w:color w:val="000000"/>
        </w:rPr>
        <w:t xml:space="preserve">powiązanie zakresu tematycznego szkolenia z profilem prowadzonej działalności, również zawieszonej działalności gospodarczej. Jeśli takowe występuje, uczestnik nie jest wykluczony z otrzymania wsparcia, jednak będzie ono objęte pomocą publiczną/pomocą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i/>
          <w:iCs/>
          <w:color w:val="000000"/>
        </w:rPr>
        <w:t xml:space="preserve">. </w:t>
      </w:r>
      <w:r w:rsidRPr="00A964C7">
        <w:rPr>
          <w:rFonts w:asciiTheme="minorHAnsi" w:hAnsiTheme="minorHAnsi" w:cstheme="minorHAnsi"/>
          <w:color w:val="000000"/>
        </w:rPr>
        <w:t>  </w:t>
      </w:r>
    </w:p>
    <w:p w:rsidR="00B81240" w:rsidRPr="00B81240" w:rsidRDefault="00B81240" w:rsidP="00B81240">
      <w:pPr>
        <w:spacing w:after="0" w:line="360" w:lineRule="auto"/>
        <w:rPr>
          <w:rFonts w:cstheme="minorHAnsi"/>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Pr="00B81240" w:rsidRDefault="00B81240" w:rsidP="00B81240">
      <w:pPr>
        <w:spacing w:after="0" w:line="360" w:lineRule="auto"/>
        <w:rPr>
          <w:rFonts w:cstheme="minorHAnsi"/>
          <w:b/>
        </w:rPr>
      </w:pPr>
    </w:p>
    <w:p w:rsidR="00597223" w:rsidRPr="00B81240" w:rsidRDefault="00597223" w:rsidP="0019634B">
      <w:pPr>
        <w:spacing w:line="360" w:lineRule="auto"/>
        <w:rPr>
          <w:rFonts w:cstheme="minorHAnsi"/>
        </w:rPr>
      </w:pPr>
      <w:r w:rsidRPr="0019634B">
        <w:rPr>
          <w:rFonts w:cstheme="minorHAnsi"/>
          <w:b/>
          <w:color w:val="4472C4" w:themeColor="accent1"/>
        </w:rPr>
        <w:t>WSPARCIE:</w:t>
      </w:r>
    </w:p>
    <w:p w:rsidR="00597223" w:rsidRPr="0019634B" w:rsidRDefault="00597223" w:rsidP="00CA037C">
      <w:pPr>
        <w:numPr>
          <w:ilvl w:val="0"/>
          <w:numId w:val="3"/>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B81240">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pStyle w:val="Akapitzlist"/>
        <w:spacing w:after="0" w:line="360" w:lineRule="auto"/>
        <w:ind w:left="0"/>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CA037C">
      <w:pPr>
        <w:numPr>
          <w:ilvl w:val="0"/>
          <w:numId w:val="3"/>
        </w:numPr>
        <w:spacing w:after="0" w:line="360" w:lineRule="auto"/>
        <w:rPr>
          <w:rFonts w:eastAsia="Calibri" w:cstheme="minorHAnsi"/>
          <w:b/>
        </w:rPr>
      </w:pPr>
      <w:r w:rsidRPr="0019634B">
        <w:rPr>
          <w:rFonts w:eastAsia="Calibri" w:cstheme="minorHAnsi"/>
          <w:b/>
        </w:rPr>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w:t>
      </w:r>
      <w:r w:rsidRPr="0019634B">
        <w:rPr>
          <w:rFonts w:eastAsia="Calibri" w:cstheme="minorHAnsi"/>
        </w:rPr>
        <w:lastRenderedPageBreak/>
        <w:t>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F06633" w:rsidRDefault="00597223" w:rsidP="0019634B">
      <w:pPr>
        <w:spacing w:after="0" w:line="360" w:lineRule="auto"/>
        <w:rPr>
          <w:rFonts w:eastAsia="Calibri" w:cstheme="minorHAnsi"/>
          <w:b/>
          <w:bCs/>
        </w:rPr>
      </w:pPr>
      <w:r w:rsidRPr="00F06633">
        <w:rPr>
          <w:rFonts w:eastAsia="Calibri" w:cstheme="minorHAnsi"/>
          <w:b/>
          <w:bCs/>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w:t>
      </w:r>
      <w:r w:rsidRPr="0019634B">
        <w:rPr>
          <w:rFonts w:eastAsia="Calibri" w:cstheme="minorHAnsi"/>
        </w:rPr>
        <w:lastRenderedPageBreak/>
        <w:t>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CA037C">
      <w:pPr>
        <w:pStyle w:val="Akapitzlist"/>
        <w:numPr>
          <w:ilvl w:val="0"/>
          <w:numId w:val="4"/>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Pr="008A2989" w:rsidRDefault="0019634B" w:rsidP="0019634B">
      <w:pPr>
        <w:spacing w:after="0" w:line="360" w:lineRule="auto"/>
        <w:rPr>
          <w:rFonts w:eastAsia="Calibri" w:cstheme="minorHAnsi"/>
          <w:b/>
          <w:bCs/>
        </w:rPr>
      </w:pPr>
      <w:r w:rsidRPr="008A2989">
        <w:rPr>
          <w:rFonts w:eastAsia="Calibri" w:cstheme="minorHAnsi"/>
          <w:b/>
          <w:bCs/>
        </w:rPr>
        <w:t>Odpowiedź z 11.06.2024:</w:t>
      </w:r>
    </w:p>
    <w:p w:rsidR="0019634B" w:rsidRDefault="0019634B" w:rsidP="00DE1EA6">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7D2BFF" w:rsidRDefault="007D2BFF" w:rsidP="0019634B">
      <w:pPr>
        <w:spacing w:line="360" w:lineRule="auto"/>
      </w:pPr>
    </w:p>
    <w:p w:rsidR="00845811" w:rsidRDefault="00845811" w:rsidP="00CA037C">
      <w:pPr>
        <w:pStyle w:val="Akapitzlist"/>
        <w:numPr>
          <w:ilvl w:val="0"/>
          <w:numId w:val="4"/>
        </w:numPr>
        <w:spacing w:after="0" w:line="360" w:lineRule="auto"/>
        <w:jc w:val="both"/>
        <w:rPr>
          <w:b/>
        </w:rPr>
      </w:pPr>
      <w:r w:rsidRPr="00845811">
        <w:rPr>
          <w:b/>
        </w:rPr>
        <w:t>Czy wkład własny musi być zachowany proporcjonalnie między Liderem i Partnerem? Czyli każdy ze stron musi wnieść taką samą wartość procentową wkładu własnego, czy może to być nieproporcjonalnie – tzn. Lider zapewnia (wnosi) cały wkład własny dla całego projektu, a Partner ma 100% dofinasowania swoich kosztów kwalifikowalnych?</w:t>
      </w:r>
    </w:p>
    <w:p w:rsidR="008A2989" w:rsidRPr="00845811" w:rsidRDefault="008A2989" w:rsidP="008A2989">
      <w:pPr>
        <w:pStyle w:val="Akapitzlist"/>
        <w:spacing w:after="0" w:line="360" w:lineRule="auto"/>
        <w:ind w:left="0"/>
        <w:jc w:val="both"/>
        <w:rPr>
          <w:b/>
        </w:rPr>
      </w:pPr>
    </w:p>
    <w:p w:rsidR="00845811" w:rsidRPr="008A2989" w:rsidRDefault="00845811" w:rsidP="00845811">
      <w:pPr>
        <w:spacing w:after="0" w:line="360" w:lineRule="auto"/>
        <w:rPr>
          <w:rFonts w:eastAsia="Calibri" w:cstheme="minorHAnsi"/>
          <w:b/>
          <w:bCs/>
        </w:rPr>
      </w:pPr>
      <w:r w:rsidRPr="008A2989">
        <w:rPr>
          <w:rFonts w:eastAsia="Calibri" w:cstheme="minorHAnsi"/>
          <w:b/>
          <w:bCs/>
        </w:rPr>
        <w:t>Odpowiedź z 17.06.2024:</w:t>
      </w:r>
    </w:p>
    <w:p w:rsidR="00845811" w:rsidRDefault="00845811" w:rsidP="00845811">
      <w:pPr>
        <w:spacing w:line="360" w:lineRule="auto"/>
      </w:pPr>
      <w:bookmarkStart w:id="0" w:name="_Hlk53401971"/>
      <w:r>
        <w:t>Zgodnie z zapisami Regulaminu wyboru projektów, wkład własny beneficjenta wynosi 5% wartości projektu</w:t>
      </w:r>
      <w:bookmarkEnd w:id="0"/>
      <w:r>
        <w:t>, co oznacza, że jako Lider projektu odpowiada on za wniesienie wkładu własnego w wymaganej wysokości. Nie musi być on jednak zachowany proporcjonalnie między Liderem i Partnerem, tzn. nie muszą oni wnosić wkładu wł</w:t>
      </w:r>
      <w:r w:rsidR="0085797D">
        <w:t>a</w:t>
      </w:r>
      <w:r>
        <w:t>snego w takiej samej wysokości.    </w:t>
      </w:r>
    </w:p>
    <w:p w:rsidR="00974320" w:rsidRDefault="00974320" w:rsidP="00974320">
      <w:pPr>
        <w:spacing w:after="0" w:line="360" w:lineRule="auto"/>
      </w:pPr>
    </w:p>
    <w:p w:rsidR="006923BF" w:rsidRPr="00974320" w:rsidRDefault="006923BF" w:rsidP="00CA037C">
      <w:pPr>
        <w:pStyle w:val="Akapitzlist"/>
        <w:numPr>
          <w:ilvl w:val="0"/>
          <w:numId w:val="4"/>
        </w:numPr>
        <w:spacing w:after="0" w:line="360" w:lineRule="auto"/>
        <w:rPr>
          <w:rFonts w:eastAsia="Times New Roman"/>
          <w:b/>
        </w:rPr>
      </w:pPr>
      <w:r w:rsidRPr="00974320">
        <w:rPr>
          <w:rFonts w:eastAsia="Times New Roman"/>
          <w:b/>
        </w:rPr>
        <w:t xml:space="preserve">Wydatki kwalifikowane w projekcie: </w:t>
      </w:r>
    </w:p>
    <w:p w:rsidR="006923BF" w:rsidRPr="006923BF" w:rsidRDefault="006923BF" w:rsidP="006923BF">
      <w:pPr>
        <w:pStyle w:val="Akapitzlist"/>
        <w:spacing w:after="0" w:line="360" w:lineRule="auto"/>
        <w:ind w:left="0"/>
        <w:rPr>
          <w:b/>
        </w:rPr>
      </w:pPr>
      <w:r w:rsidRPr="006923BF">
        <w:rPr>
          <w:b/>
        </w:rPr>
        <w:t>- czy zakładacie państwo jakiś konkretny procentowy podział budżetu na wydatki związane z finansowaniem usług rozwojowych i koszty operatorskie (związane z obsługą osób i usług np. z w zakresie diagnozy potrzeb, budowania motywacji, wsparcia w zakresie obsługi BUR, monitoringu usług)?</w:t>
      </w:r>
    </w:p>
    <w:p w:rsidR="006923BF" w:rsidRPr="006923BF" w:rsidRDefault="006923BF" w:rsidP="006923BF">
      <w:pPr>
        <w:pStyle w:val="Akapitzlist"/>
        <w:spacing w:after="0" w:line="360" w:lineRule="auto"/>
        <w:ind w:left="0"/>
        <w:rPr>
          <w:b/>
          <w:highlight w:val="yellow"/>
        </w:rPr>
      </w:pPr>
      <w:r w:rsidRPr="006923BF">
        <w:rPr>
          <w:b/>
        </w:rPr>
        <w:lastRenderedPageBreak/>
        <w:t xml:space="preserve">Wg. analiz ogólnopolskich prowadzonych przez PARP, w zależności od województwa wydatki operatorskie kształtują się na poziomie nawet do 40% wydatków kwalifikowanych w projekcie (woj. dolnośląskie). </w:t>
      </w:r>
    </w:p>
    <w:p w:rsidR="00DB157B" w:rsidRDefault="00DB157B" w:rsidP="006923BF">
      <w:pPr>
        <w:spacing w:after="0" w:line="360" w:lineRule="auto"/>
        <w:rPr>
          <w:rFonts w:eastAsia="Calibri" w:cstheme="minorHAnsi"/>
          <w:b/>
          <w:bCs/>
        </w:rPr>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FB6B6D" w:rsidRDefault="006923BF" w:rsidP="006923BF">
      <w:pPr>
        <w:pStyle w:val="Akapitzlist"/>
        <w:spacing w:after="0" w:line="360" w:lineRule="auto"/>
        <w:ind w:left="0"/>
        <w:rPr>
          <w:bCs/>
        </w:rPr>
      </w:pPr>
      <w:r w:rsidRPr="006923BF">
        <w:rPr>
          <w:bCs/>
        </w:rPr>
        <w:t>Nie, w ramach naboru nie przewidziano procentowego podziału budżetu na wydatki związane z finansowaniem usług rozwojowych i kosztów operatorskich. Należy jednak pamiętać, iż w ramach planowanego budżetu głównym kosztem będzie sfinansowanie usługi rozwojowej dla uczestników projektu, których minimalna ilość dla każdego z subregionów została określona w Regulaminie wyboru projektów w podrozdziale 2.5, pkt 4.</w:t>
      </w:r>
    </w:p>
    <w:p w:rsidR="006923BF" w:rsidRDefault="006923BF" w:rsidP="006923BF">
      <w:pPr>
        <w:pStyle w:val="Akapitzlist"/>
        <w:spacing w:after="0" w:line="360" w:lineRule="auto"/>
        <w:ind w:left="0"/>
      </w:pPr>
    </w:p>
    <w:p w:rsidR="006923BF" w:rsidRPr="006923BF" w:rsidRDefault="006923BF" w:rsidP="00CA037C">
      <w:pPr>
        <w:pStyle w:val="Akapitzlist"/>
        <w:numPr>
          <w:ilvl w:val="0"/>
          <w:numId w:val="4"/>
        </w:numPr>
        <w:spacing w:after="0" w:line="360" w:lineRule="auto"/>
        <w:rPr>
          <w:b/>
        </w:rPr>
      </w:pPr>
      <w:r>
        <w:rPr>
          <w:b/>
        </w:rPr>
        <w:t>J</w:t>
      </w:r>
      <w:r w:rsidRPr="006923BF">
        <w:rPr>
          <w:b/>
        </w:rPr>
        <w:t>aki jest katalog kwalifikowanych kosztów operatorskich, które można rozliczać w ramach wydatków bezpośrednich? Czy możemy do niego zaliczyć następujące pozycje:</w:t>
      </w:r>
    </w:p>
    <w:p w:rsidR="006923BF" w:rsidRPr="006923BF" w:rsidRDefault="006923BF" w:rsidP="00CA037C">
      <w:pPr>
        <w:pStyle w:val="Akapitzlist"/>
        <w:numPr>
          <w:ilvl w:val="1"/>
          <w:numId w:val="5"/>
        </w:numPr>
        <w:spacing w:after="0" w:line="360" w:lineRule="auto"/>
        <w:ind w:left="0"/>
        <w:rPr>
          <w:b/>
        </w:rPr>
      </w:pPr>
      <w:r w:rsidRPr="006923BF">
        <w:rPr>
          <w:b/>
        </w:rPr>
        <w:t xml:space="preserve">wynagrodzenia dla personelu merytorycznego prowadzącego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CA037C">
      <w:pPr>
        <w:pStyle w:val="Akapitzlist"/>
        <w:numPr>
          <w:ilvl w:val="1"/>
          <w:numId w:val="5"/>
        </w:numPr>
        <w:spacing w:after="0" w:line="360" w:lineRule="auto"/>
        <w:ind w:left="0"/>
        <w:rPr>
          <w:b/>
        </w:rPr>
      </w:pPr>
      <w:r w:rsidRPr="006923BF">
        <w:rPr>
          <w:b/>
          <w:color w:val="000000"/>
        </w:rPr>
        <w:t xml:space="preserve">usługi zewnętrzne </w:t>
      </w:r>
      <w:r w:rsidRPr="006923BF">
        <w:rPr>
          <w:b/>
        </w:rPr>
        <w:t xml:space="preserve">dla osób/podmiotów prowadzących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CA037C">
      <w:pPr>
        <w:pStyle w:val="Akapitzlist"/>
        <w:numPr>
          <w:ilvl w:val="1"/>
          <w:numId w:val="5"/>
        </w:numPr>
        <w:spacing w:after="0" w:line="360" w:lineRule="auto"/>
        <w:ind w:left="0"/>
        <w:rPr>
          <w:b/>
        </w:rPr>
      </w:pPr>
      <w:r w:rsidRPr="006923BF">
        <w:rPr>
          <w:b/>
          <w:color w:val="000000"/>
        </w:rPr>
        <w:t>zakup systemów informatycznych</w:t>
      </w:r>
    </w:p>
    <w:p w:rsidR="006923BF" w:rsidRPr="006923BF" w:rsidRDefault="006923BF" w:rsidP="00CA037C">
      <w:pPr>
        <w:pStyle w:val="Akapitzlist"/>
        <w:numPr>
          <w:ilvl w:val="1"/>
          <w:numId w:val="5"/>
        </w:numPr>
        <w:spacing w:after="0" w:line="360" w:lineRule="auto"/>
        <w:ind w:left="0"/>
        <w:rPr>
          <w:b/>
        </w:rPr>
      </w:pPr>
      <w:r w:rsidRPr="006923BF">
        <w:rPr>
          <w:b/>
          <w:color w:val="000000"/>
        </w:rPr>
        <w:t>zakup sprzętu/środków trwałych niezbędnych do realizacji usług (np.: laptopy, telefony, wyposażenie biurowe typu drukarki?)?</w:t>
      </w:r>
    </w:p>
    <w:p w:rsidR="006923BF" w:rsidRPr="006923BF" w:rsidRDefault="006923BF" w:rsidP="00CA037C">
      <w:pPr>
        <w:pStyle w:val="Akapitzlist"/>
        <w:numPr>
          <w:ilvl w:val="1"/>
          <w:numId w:val="5"/>
        </w:numPr>
        <w:spacing w:after="0" w:line="360" w:lineRule="auto"/>
        <w:ind w:left="0"/>
        <w:rPr>
          <w:b/>
        </w:rPr>
      </w:pPr>
      <w:r w:rsidRPr="006923BF">
        <w:rPr>
          <w:b/>
          <w:color w:val="000000"/>
        </w:rPr>
        <w:t>zakup środków transportu – samochody?</w:t>
      </w:r>
    </w:p>
    <w:p w:rsidR="006923BF" w:rsidRPr="006923BF" w:rsidRDefault="006923BF" w:rsidP="00CA037C">
      <w:pPr>
        <w:pStyle w:val="Akapitzlist"/>
        <w:numPr>
          <w:ilvl w:val="1"/>
          <w:numId w:val="5"/>
        </w:numPr>
        <w:spacing w:after="0" w:line="360" w:lineRule="auto"/>
        <w:ind w:left="0"/>
        <w:rPr>
          <w:b/>
        </w:rPr>
      </w:pPr>
      <w:r w:rsidRPr="006923BF">
        <w:rPr>
          <w:b/>
          <w:color w:val="000000"/>
        </w:rPr>
        <w:t xml:space="preserve">zwrot kosztów dojazdu do uczestników projektu w celach wsparcia, diagnozy lub monitoringu (delegacja/paliwo, nocleg, dieta) </w:t>
      </w:r>
    </w:p>
    <w:p w:rsidR="006923BF" w:rsidRDefault="006923BF" w:rsidP="006923BF">
      <w:pPr>
        <w:spacing w:after="0" w:line="360" w:lineRule="auto"/>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6923BF" w:rsidRDefault="006923BF" w:rsidP="006923BF">
      <w:pPr>
        <w:pStyle w:val="Akapitzlist"/>
        <w:spacing w:after="0" w:line="360" w:lineRule="auto"/>
        <w:ind w:left="0"/>
        <w:rPr>
          <w:bCs/>
        </w:rPr>
      </w:pPr>
      <w:r w:rsidRPr="006923BF">
        <w:rPr>
          <w:bCs/>
        </w:rPr>
        <w:t>Dla przedmiotowego konkursu nie został utworzony katalog kosztów operatorskich. Projektodawca samodzielnie planuje budżet projektu wskazując wydatki niezbędne do jego realizacji.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Wytycznych dotyczących kwalifikowalności wydatków na lata 2021-2027. Jednocześnie przypominamy, iż w ramach przedmiotowego naboru nie przewiduje się wydatków w ramach cross-</w:t>
      </w:r>
      <w:proofErr w:type="spellStart"/>
      <w:r w:rsidRPr="006923BF">
        <w:rPr>
          <w:bCs/>
        </w:rPr>
        <w:t>financingu</w:t>
      </w:r>
      <w:proofErr w:type="spellEnd"/>
      <w:r w:rsidRPr="006923BF">
        <w:rPr>
          <w:bCs/>
        </w:rPr>
        <w:t>, a jednoznaczna ocena kwalifikowalności danego wydatku będzie możliwa po zapoznaniu się z treścią całego wniosku o dofinansowanie, tj. po jego złożeniu w ramach konkursu.</w:t>
      </w:r>
    </w:p>
    <w:p w:rsidR="00913E8D" w:rsidRDefault="00913E8D" w:rsidP="006923BF">
      <w:pPr>
        <w:pStyle w:val="Akapitzlist"/>
        <w:spacing w:after="0" w:line="360" w:lineRule="auto"/>
        <w:ind w:left="0"/>
        <w:rPr>
          <w:bCs/>
        </w:rPr>
      </w:pPr>
    </w:p>
    <w:p w:rsidR="00913E8D" w:rsidRPr="00913E8D" w:rsidRDefault="00913E8D" w:rsidP="00CA037C">
      <w:pPr>
        <w:pStyle w:val="Akapitzlist"/>
        <w:numPr>
          <w:ilvl w:val="0"/>
          <w:numId w:val="4"/>
        </w:numPr>
        <w:rPr>
          <w:b/>
        </w:rPr>
      </w:pPr>
      <w:r w:rsidRPr="00913E8D">
        <w:rPr>
          <w:b/>
        </w:rPr>
        <w:t xml:space="preserve">Czy koszty: </w:t>
      </w:r>
    </w:p>
    <w:p w:rsidR="00913E8D" w:rsidRPr="00913E8D" w:rsidRDefault="00913E8D" w:rsidP="00913E8D">
      <w:pPr>
        <w:rPr>
          <w:b/>
        </w:rPr>
      </w:pPr>
      <w:r w:rsidRPr="00913E8D">
        <w:rPr>
          <w:b/>
        </w:rPr>
        <w:t xml:space="preserve">-utworzenia i funkcjonowania punktów obsługi uczestników, w tym doradztwa w zakresie BUR, wypełniania dokumentacji (rekrutacja aktywna), </w:t>
      </w:r>
    </w:p>
    <w:p w:rsidR="00913E8D" w:rsidRPr="00913E8D" w:rsidRDefault="00913E8D" w:rsidP="00913E8D">
      <w:pPr>
        <w:rPr>
          <w:b/>
        </w:rPr>
      </w:pPr>
      <w:r w:rsidRPr="00913E8D">
        <w:rPr>
          <w:b/>
        </w:rPr>
        <w:t xml:space="preserve">-doradztwa zawodowego (bilans kompetencji) </w:t>
      </w:r>
    </w:p>
    <w:p w:rsidR="00913E8D" w:rsidRPr="00913E8D" w:rsidRDefault="00913E8D" w:rsidP="00913E8D">
      <w:pPr>
        <w:rPr>
          <w:b/>
        </w:rPr>
      </w:pPr>
      <w:r w:rsidRPr="00913E8D">
        <w:rPr>
          <w:b/>
        </w:rPr>
        <w:t xml:space="preserve">-monitoringu realizacji wsparcia </w:t>
      </w:r>
    </w:p>
    <w:p w:rsidR="00913E8D" w:rsidRPr="00913E8D" w:rsidRDefault="00913E8D" w:rsidP="00913E8D">
      <w:pPr>
        <w:rPr>
          <w:b/>
        </w:rPr>
      </w:pPr>
      <w:r w:rsidRPr="00913E8D">
        <w:rPr>
          <w:b/>
        </w:rPr>
        <w:lastRenderedPageBreak/>
        <w:t>-zapewnienia systemu IT na potrzeby obsługi procesu</w:t>
      </w:r>
    </w:p>
    <w:p w:rsidR="00913E8D" w:rsidRDefault="00913E8D" w:rsidP="00913E8D">
      <w:pPr>
        <w:spacing w:after="0" w:line="360" w:lineRule="auto"/>
        <w:rPr>
          <w:b/>
        </w:rPr>
      </w:pPr>
      <w:r w:rsidRPr="00913E8D">
        <w:rPr>
          <w:b/>
        </w:rPr>
        <w:t>można ująć w kosztach bezpośrednich, tak jak w innych województwach w przypadku PSF dla osób indywidualnych (np. łódzkie, śląskie, małopolskie)?</w:t>
      </w:r>
    </w:p>
    <w:p w:rsidR="00913E8D" w:rsidRDefault="00913E8D" w:rsidP="00913E8D">
      <w:pPr>
        <w:spacing w:after="0" w:line="360" w:lineRule="auto"/>
        <w:rPr>
          <w:b/>
        </w:rPr>
      </w:pPr>
    </w:p>
    <w:p w:rsidR="00913E8D" w:rsidRDefault="00913E8D" w:rsidP="00913E8D">
      <w:pPr>
        <w:spacing w:after="0" w:line="360" w:lineRule="auto"/>
        <w:rPr>
          <w:b/>
          <w:bCs/>
        </w:rPr>
      </w:pPr>
      <w:r w:rsidRPr="00913E8D">
        <w:rPr>
          <w:b/>
          <w:bCs/>
        </w:rPr>
        <w:t>Odpowiedź z 24.06.2024:</w:t>
      </w:r>
    </w:p>
    <w:p w:rsidR="00913E8D" w:rsidRDefault="00913E8D" w:rsidP="00913E8D">
      <w:pPr>
        <w:spacing w:after="0" w:line="360" w:lineRule="auto"/>
      </w:pPr>
      <w:r>
        <w:t xml:space="preserve">Wymienione koszty mogą zostać ujęte w kosztach bezpośrednich.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t>
      </w:r>
      <w:r>
        <w:rPr>
          <w:i/>
          <w:iCs/>
        </w:rPr>
        <w:t>Wytycznych dotyczących kwalifikowalności wydatków na lata 2021-2027</w:t>
      </w:r>
      <w:r>
        <w:t>. Jednocześnie przypominamy, że jednoznaczna ocena kwalifikowalności danego wydatku będzie możliwa po zapoznaniu się z treścią całego wniosku o dofinansowanie, tj. po jego złożeniu w ramach konkursu.</w:t>
      </w:r>
    </w:p>
    <w:p w:rsidR="00872580" w:rsidRDefault="00872580" w:rsidP="00913E8D">
      <w:pPr>
        <w:spacing w:after="0" w:line="360" w:lineRule="auto"/>
        <w:rPr>
          <w:bCs/>
        </w:rPr>
      </w:pPr>
    </w:p>
    <w:p w:rsidR="00CA037C" w:rsidRPr="00CA037C" w:rsidRDefault="00CA037C" w:rsidP="00CA037C">
      <w:pPr>
        <w:pStyle w:val="Akapitzlist"/>
        <w:numPr>
          <w:ilvl w:val="0"/>
          <w:numId w:val="6"/>
        </w:numPr>
        <w:spacing w:after="0" w:line="360" w:lineRule="auto"/>
        <w:rPr>
          <w:b/>
          <w:bCs/>
        </w:rPr>
      </w:pPr>
      <w:r w:rsidRPr="00CA037C">
        <w:rPr>
          <w:b/>
        </w:rPr>
        <w:t>Czy w naborze numer FEPM.05.09-IZ.00-001/24 przewiduje się ponoszenie wydatków w ramach kosztów bezpośrednich w ramach środków trwałych tj. zakup wartości niematerialnych oraz zakup laptopów, drukarek czyli sprzętu niezbędnego do obsługi uczestników projektu?</w:t>
      </w:r>
    </w:p>
    <w:p w:rsidR="00CA037C" w:rsidRDefault="00CA037C" w:rsidP="00CA037C">
      <w:pPr>
        <w:spacing w:after="0" w:line="360" w:lineRule="auto"/>
        <w:rPr>
          <w:b/>
          <w:bCs/>
        </w:rPr>
      </w:pPr>
    </w:p>
    <w:p w:rsidR="00CA037C" w:rsidRPr="00CA037C" w:rsidRDefault="00CA037C" w:rsidP="00CA037C">
      <w:pPr>
        <w:spacing w:after="0" w:line="360" w:lineRule="auto"/>
        <w:rPr>
          <w:b/>
        </w:rPr>
      </w:pPr>
      <w:r w:rsidRPr="00CA037C">
        <w:rPr>
          <w:b/>
        </w:rPr>
        <w:t>Odpowiedź z 02.07.2024:</w:t>
      </w:r>
    </w:p>
    <w:p w:rsidR="00CA037C" w:rsidRDefault="00CA037C" w:rsidP="00CA037C">
      <w:pPr>
        <w:spacing w:after="0" w:line="360" w:lineRule="auto"/>
      </w:pPr>
      <w:r w:rsidRPr="00CA037C">
        <w:t>Tak, zakup środków trwałych w ramach kosztów bezpośrednich jest możliwy w niniejszym naborze. Należy przy tym pamiętać, że nie mogą one stanowić wydatków w ramach cross-</w:t>
      </w:r>
      <w:proofErr w:type="spellStart"/>
      <w:r w:rsidRPr="00CA037C">
        <w:t>financingu</w:t>
      </w:r>
      <w:proofErr w:type="spellEnd"/>
      <w:r w:rsidRPr="00CA037C">
        <w:t xml:space="preserve"> w rozumieniu </w:t>
      </w:r>
      <w:r w:rsidRPr="00CA037C">
        <w:rPr>
          <w:i/>
          <w:iCs/>
        </w:rPr>
        <w:t>Wytycznych dotyczących kwalifikowalności wydatków na lata 2021-2027</w:t>
      </w:r>
      <w:r w:rsidRPr="00CA037C">
        <w:t>, które nie są przewidziane w tym naborze. Jednocześnie informujemy, że zaplanowane wydatki muszą być konieczne i niezbędne do realizacji projektu, a jednoznaczna ocena ich kwalifikowalności będzie możliwa po zapoznaniu się z treścią całego wniosku o dofinansowanie, tj. po jego złożeniu w ramach konkursu.</w:t>
      </w:r>
    </w:p>
    <w:p w:rsidR="00CA037C" w:rsidRDefault="00CA037C" w:rsidP="00CA037C">
      <w:pPr>
        <w:spacing w:after="0" w:line="360" w:lineRule="auto"/>
        <w:rPr>
          <w:bCs/>
        </w:rPr>
      </w:pPr>
    </w:p>
    <w:p w:rsidR="00CA037C" w:rsidRPr="00CA037C" w:rsidRDefault="00CA037C" w:rsidP="00CA037C">
      <w:pPr>
        <w:pStyle w:val="Akapitzlist"/>
        <w:numPr>
          <w:ilvl w:val="0"/>
          <w:numId w:val="6"/>
        </w:numPr>
        <w:spacing w:after="0" w:line="360" w:lineRule="auto"/>
        <w:ind w:left="714" w:hanging="357"/>
        <w:rPr>
          <w:b/>
          <w:bCs/>
        </w:rPr>
      </w:pPr>
      <w:r w:rsidRPr="00CA037C">
        <w:rPr>
          <w:b/>
        </w:rPr>
        <w:t xml:space="preserve">W RWP w podrozdziale 2.3.2 jest zapis, że </w:t>
      </w:r>
      <w:r w:rsidRPr="00CA037C">
        <w:rPr>
          <w:b/>
          <w:color w:val="000000"/>
        </w:rPr>
        <w:t xml:space="preserve">poziom dofinansowania usługi rozwojowej wynosi 95% kosztów tej usługi, a wkład własny wnoszony przez uczestnika 5%, czyli maksymalna kwota dofinansowania usługi rozwojowej na jednego uczestnika (PESEL) wynosi 9 500,00 PLN. Czy </w:t>
      </w:r>
      <w:r w:rsidRPr="00CA037C">
        <w:rPr>
          <w:b/>
        </w:rPr>
        <w:t xml:space="preserve">w naborze numer FEPM.05.09-IZ.00-001/24 jest możliwe wniesienie wkładu własnego przez uczestnika projektu </w:t>
      </w:r>
      <w:r w:rsidRPr="00CA037C">
        <w:rPr>
          <w:b/>
          <w:color w:val="000000"/>
        </w:rPr>
        <w:t>na wyższym poziomie np. 6%?</w:t>
      </w:r>
    </w:p>
    <w:p w:rsidR="00CA037C" w:rsidRDefault="00CA037C" w:rsidP="00CA037C">
      <w:pPr>
        <w:spacing w:after="0" w:line="360" w:lineRule="auto"/>
        <w:rPr>
          <w:b/>
        </w:rPr>
      </w:pPr>
    </w:p>
    <w:p w:rsidR="00CA037C" w:rsidRPr="00CA037C" w:rsidRDefault="00CA037C" w:rsidP="00CA037C">
      <w:pPr>
        <w:spacing w:after="0" w:line="360" w:lineRule="auto"/>
        <w:rPr>
          <w:b/>
        </w:rPr>
      </w:pPr>
      <w:r w:rsidRPr="00CA037C">
        <w:rPr>
          <w:b/>
        </w:rPr>
        <w:t>Odpowiedź z 02.07.2024:</w:t>
      </w:r>
    </w:p>
    <w:p w:rsidR="00CA037C" w:rsidRPr="00CA037C" w:rsidRDefault="00CA037C" w:rsidP="00CA037C">
      <w:pPr>
        <w:spacing w:line="360" w:lineRule="auto"/>
        <w:rPr>
          <w:highlight w:val="green"/>
        </w:rPr>
      </w:pPr>
      <w:r w:rsidRPr="00CA037C">
        <w:t xml:space="preserve">Nie, nie jest możliwe wniesienie wkładu własnego przez uczestnika projektu na wyższym poziomie. Zgodnie z zapisami Regulaminu wyboru projektów, poziom dofinansowania usługi rozwojowej wynosi 95% tej usługi, a wkład własny wnoszony przez uczestnika 5%. </w:t>
      </w:r>
      <w:r w:rsidRPr="00CA037C">
        <w:rPr>
          <w:color w:val="000000"/>
        </w:rPr>
        <w:t> </w:t>
      </w:r>
    </w:p>
    <w:p w:rsidR="00CA037C" w:rsidRDefault="00CA037C" w:rsidP="00CA037C">
      <w:pPr>
        <w:spacing w:after="0" w:line="360" w:lineRule="auto"/>
        <w:rPr>
          <w:b/>
          <w:bCs/>
        </w:rPr>
      </w:pPr>
    </w:p>
    <w:p w:rsidR="00CA037C" w:rsidRPr="00CA037C" w:rsidRDefault="00CA037C" w:rsidP="00CA037C">
      <w:pPr>
        <w:pStyle w:val="Akapitzlist"/>
        <w:numPr>
          <w:ilvl w:val="0"/>
          <w:numId w:val="6"/>
        </w:numPr>
        <w:spacing w:after="0" w:line="360" w:lineRule="auto"/>
        <w:rPr>
          <w:b/>
          <w:bCs/>
        </w:rPr>
      </w:pPr>
      <w:r w:rsidRPr="00CA037C">
        <w:rPr>
          <w:b/>
        </w:rPr>
        <w:t xml:space="preserve">Czy dopuszczalne jest uwzględnienie w ramach kosztów bezpośrednich budżetu projektu kosztów  lokali/biur (które nie są własnością Partnera – są wynajmowane) ale są niezbędne do realizacji celów projektu i zostaną poniesione w związku z realizacją projektu (w biurze tym będą </w:t>
      </w:r>
      <w:r w:rsidRPr="00CA037C">
        <w:rPr>
          <w:b/>
        </w:rPr>
        <w:lastRenderedPageBreak/>
        <w:t>świadczone usługi doradcze dla uczestników projektu przez doradców zawodowych). Wynagrodzenie doradców zawodowych jest finansowane z kosztów bezpośrednich projektu.  Jeżeli tak, to do jakiej kategorii zadania/budżetu w SOWA zakwalifikować ten koszt.</w:t>
      </w:r>
    </w:p>
    <w:p w:rsidR="00CA037C" w:rsidRDefault="00CA037C" w:rsidP="00CA037C">
      <w:pPr>
        <w:spacing w:after="0" w:line="360" w:lineRule="auto"/>
        <w:rPr>
          <w:b/>
          <w:bCs/>
        </w:rPr>
      </w:pPr>
    </w:p>
    <w:p w:rsidR="00CA037C" w:rsidRPr="00CA037C" w:rsidRDefault="00CA037C" w:rsidP="00CA037C">
      <w:pPr>
        <w:spacing w:after="0" w:line="360" w:lineRule="auto"/>
        <w:rPr>
          <w:b/>
        </w:rPr>
      </w:pPr>
      <w:r w:rsidRPr="00CA037C">
        <w:rPr>
          <w:b/>
        </w:rPr>
        <w:t>Odpowiedź z 02.07.2024:</w:t>
      </w:r>
    </w:p>
    <w:p w:rsidR="00CA037C" w:rsidRDefault="00CA037C" w:rsidP="00CA037C">
      <w:pPr>
        <w:spacing w:line="360" w:lineRule="auto"/>
      </w:pPr>
      <w:r>
        <w:t xml:space="preserve">Tak, dopuszczalne jest uwzględnienie w ramach kosztów bezpośrednich projektu kosztów lokali wynajmowanych przez Partnera, jeżeli są one niezbędne do realizacji celów projektu i Partner będzie podmiotem upoważnionym do ponoszenia wydatków w projekcie. Koszty wynajmu powinny być rozliczane proporcjonalnie w stosunku do czasu, w jakim będą wykorzystywane do realizacji projektu (w tym przypadku usług doradczych). </w:t>
      </w:r>
      <w:r>
        <w:t xml:space="preserve"> </w:t>
      </w:r>
    </w:p>
    <w:p w:rsidR="00CA037C" w:rsidRDefault="00CA037C" w:rsidP="00CA037C">
      <w:pPr>
        <w:spacing w:line="360" w:lineRule="auto"/>
        <w:rPr>
          <w:b/>
          <w:bCs/>
        </w:rPr>
      </w:pPr>
      <w:r>
        <w:t>Koszty wynajmu sali/lokalu/biura należy zakwalifikować do kategorii „Usługi zewnętrzne”.</w:t>
      </w:r>
    </w:p>
    <w:p w:rsidR="00CA037C" w:rsidRDefault="00CA037C" w:rsidP="00CA037C">
      <w:pPr>
        <w:spacing w:after="0" w:line="360" w:lineRule="auto"/>
        <w:rPr>
          <w:b/>
          <w:bCs/>
        </w:rPr>
      </w:pPr>
    </w:p>
    <w:p w:rsidR="00596B9B" w:rsidRPr="00596B9B" w:rsidRDefault="00596B9B" w:rsidP="00596B9B">
      <w:pPr>
        <w:pStyle w:val="Akapitzlist"/>
        <w:numPr>
          <w:ilvl w:val="0"/>
          <w:numId w:val="6"/>
        </w:numPr>
        <w:spacing w:line="360" w:lineRule="auto"/>
        <w:rPr>
          <w:b/>
        </w:rPr>
      </w:pPr>
      <w:r w:rsidRPr="00596B9B">
        <w:rPr>
          <w:b/>
        </w:rPr>
        <w:t xml:space="preserve">Zgodnie z RWP podrozdział 2.3.6 do obowiązków Operatora m.in. należy </w:t>
      </w:r>
    </w:p>
    <w:p w:rsidR="00596B9B" w:rsidRPr="00596B9B" w:rsidRDefault="00596B9B" w:rsidP="00596B9B">
      <w:pPr>
        <w:spacing w:line="276" w:lineRule="auto"/>
        <w:rPr>
          <w:b/>
        </w:rPr>
      </w:pPr>
      <w:r w:rsidRPr="00596B9B">
        <w:rPr>
          <w:b/>
        </w:rPr>
        <w:t xml:space="preserve">- rekrutacja uczestników projektu, w szczególności weryfikacja formularzy zgłoszeniowych potencjalnych uczestników wsparcia chcących skorzystać z usług rozwojowych oraz </w:t>
      </w:r>
    </w:p>
    <w:p w:rsidR="00CA037C" w:rsidRPr="00596B9B" w:rsidRDefault="00596B9B" w:rsidP="00596B9B">
      <w:pPr>
        <w:spacing w:after="0" w:line="360" w:lineRule="auto"/>
        <w:rPr>
          <w:b/>
          <w:bCs/>
        </w:rPr>
      </w:pPr>
      <w:r w:rsidRPr="00596B9B">
        <w:rPr>
          <w:b/>
        </w:rPr>
        <w:t>- weryfikacja kwalifikowalności grupy docelowej do wsparcia</w:t>
      </w:r>
      <w:r>
        <w:rPr>
          <w:b/>
        </w:rPr>
        <w:t xml:space="preserve"> </w:t>
      </w:r>
    </w:p>
    <w:p w:rsidR="00CA037C" w:rsidRDefault="00596B9B" w:rsidP="00CA037C">
      <w:pPr>
        <w:spacing w:after="0" w:line="360" w:lineRule="auto"/>
        <w:rPr>
          <w:b/>
        </w:rPr>
      </w:pPr>
      <w:r w:rsidRPr="00596B9B">
        <w:rPr>
          <w:b/>
        </w:rPr>
        <w:t>Czy koszty związane z rekrutacją uczestników i weryfikacją ich statusu mogą być zawarte i później rozliczane w ramach kosztów bezpośrednich projektu?</w:t>
      </w:r>
    </w:p>
    <w:p w:rsidR="00596B9B" w:rsidRDefault="00596B9B" w:rsidP="00CA037C">
      <w:pPr>
        <w:spacing w:after="0" w:line="360" w:lineRule="auto"/>
        <w:rPr>
          <w:b/>
        </w:rPr>
      </w:pPr>
    </w:p>
    <w:p w:rsidR="00596B9B" w:rsidRDefault="00596B9B" w:rsidP="00CA037C">
      <w:pPr>
        <w:spacing w:after="0" w:line="360" w:lineRule="auto"/>
        <w:rPr>
          <w:b/>
          <w:bCs/>
        </w:rPr>
      </w:pPr>
      <w:r w:rsidRPr="00CA037C">
        <w:rPr>
          <w:b/>
        </w:rPr>
        <w:t>Odpowiedź z 02.07.2024:</w:t>
      </w:r>
    </w:p>
    <w:p w:rsidR="00596B9B" w:rsidRPr="00596B9B" w:rsidRDefault="00596B9B" w:rsidP="00596B9B">
      <w:pPr>
        <w:spacing w:line="360" w:lineRule="auto"/>
      </w:pPr>
      <w:r w:rsidRPr="00596B9B">
        <w:t xml:space="preserve">Tak, koszty związane z rekrutacją uczestników i weryfikacją ich statusu należy ująć w ramach kosztów bezpośrednich. Jednocześnie należy pamiętać, że koszty działań informacyjno-promocyjnych projektu (np. zakup materiałów promocyjnych i informacyjnych, zakup ogłoszeń prasowych, utworzenie i prowadzenie strony internetowej o projekcie, oznakowanie projektu, plakaty, ulotki, itp.) należą do katalogu kosztów pośrednich. </w:t>
      </w:r>
    </w:p>
    <w:p w:rsidR="00596B9B" w:rsidRDefault="00596B9B" w:rsidP="00CA037C">
      <w:pPr>
        <w:spacing w:after="0" w:line="360" w:lineRule="auto"/>
        <w:rPr>
          <w:b/>
          <w:bCs/>
        </w:rPr>
      </w:pPr>
    </w:p>
    <w:p w:rsidR="007D68E9" w:rsidRPr="007D68E9" w:rsidRDefault="007D68E9" w:rsidP="007D68E9">
      <w:pPr>
        <w:pStyle w:val="Akapitzlist"/>
        <w:numPr>
          <w:ilvl w:val="0"/>
          <w:numId w:val="6"/>
        </w:numPr>
        <w:rPr>
          <w:b/>
        </w:rPr>
      </w:pPr>
      <w:r w:rsidRPr="007D68E9">
        <w:rPr>
          <w:b/>
        </w:rPr>
        <w:t>W budżecie projektu w SOWIE2021, przy wprowadzaniu kosztów należy podać kategorię kosztów, przy wprowadzaniu kosztów Usług rozwojowych, które będą refundacją kosztów poniesionych przez uczestników projektu można wybierać tylko z katalogu:  </w:t>
      </w:r>
    </w:p>
    <w:p w:rsidR="007D68E9" w:rsidRPr="007D68E9" w:rsidRDefault="007D68E9" w:rsidP="007D68E9">
      <w:pPr>
        <w:spacing w:line="240" w:lineRule="auto"/>
        <w:rPr>
          <w:b/>
          <w:lang w:eastAsia="pl-PL"/>
        </w:rPr>
      </w:pPr>
      <w:r w:rsidRPr="007D68E9">
        <w:rPr>
          <w:b/>
          <w:lang w:eastAsia="pl-PL"/>
        </w:rPr>
        <w:t>Amortyzacja</w:t>
      </w:r>
    </w:p>
    <w:p w:rsidR="007D68E9" w:rsidRPr="007D68E9" w:rsidRDefault="007D68E9" w:rsidP="007D68E9">
      <w:pPr>
        <w:spacing w:line="240" w:lineRule="auto"/>
        <w:rPr>
          <w:b/>
          <w:lang w:eastAsia="pl-PL"/>
        </w:rPr>
      </w:pPr>
      <w:r w:rsidRPr="007D68E9">
        <w:rPr>
          <w:b/>
          <w:lang w:eastAsia="pl-PL"/>
        </w:rPr>
        <w:t>Podatki i opłaty</w:t>
      </w:r>
    </w:p>
    <w:p w:rsidR="007D68E9" w:rsidRPr="007D68E9" w:rsidRDefault="007D68E9" w:rsidP="007D68E9">
      <w:pPr>
        <w:spacing w:line="240" w:lineRule="auto"/>
        <w:rPr>
          <w:b/>
          <w:lang w:eastAsia="pl-PL"/>
        </w:rPr>
      </w:pPr>
      <w:r w:rsidRPr="007D68E9">
        <w:rPr>
          <w:b/>
          <w:lang w:eastAsia="pl-PL"/>
        </w:rPr>
        <w:t>Koszty pośrednie</w:t>
      </w:r>
    </w:p>
    <w:p w:rsidR="007D68E9" w:rsidRPr="007D68E9" w:rsidRDefault="007D68E9" w:rsidP="007D68E9">
      <w:pPr>
        <w:spacing w:line="240" w:lineRule="auto"/>
        <w:rPr>
          <w:b/>
          <w:lang w:eastAsia="pl-PL"/>
        </w:rPr>
      </w:pPr>
      <w:r w:rsidRPr="007D68E9">
        <w:rPr>
          <w:b/>
          <w:lang w:eastAsia="pl-PL"/>
        </w:rPr>
        <w:t>Środki trwałe/Dostawy</w:t>
      </w:r>
    </w:p>
    <w:p w:rsidR="007D68E9" w:rsidRPr="007D68E9" w:rsidRDefault="007D68E9" w:rsidP="007D68E9">
      <w:pPr>
        <w:spacing w:line="240" w:lineRule="auto"/>
        <w:rPr>
          <w:b/>
          <w:lang w:eastAsia="pl-PL"/>
        </w:rPr>
      </w:pPr>
      <w:r w:rsidRPr="007D68E9">
        <w:rPr>
          <w:b/>
          <w:lang w:eastAsia="pl-PL"/>
        </w:rPr>
        <w:t>Usługi zewnętrzne</w:t>
      </w:r>
    </w:p>
    <w:p w:rsidR="007D68E9" w:rsidRPr="007D68E9" w:rsidRDefault="007D68E9" w:rsidP="007D68E9">
      <w:pPr>
        <w:spacing w:line="240" w:lineRule="auto"/>
        <w:rPr>
          <w:b/>
          <w:lang w:eastAsia="pl-PL"/>
        </w:rPr>
      </w:pPr>
      <w:r w:rsidRPr="007D68E9">
        <w:rPr>
          <w:b/>
          <w:lang w:eastAsia="pl-PL"/>
        </w:rPr>
        <w:t>Wartości niematerialne i prawne</w:t>
      </w:r>
    </w:p>
    <w:p w:rsidR="007D68E9" w:rsidRPr="007D68E9" w:rsidRDefault="007D68E9" w:rsidP="007D68E9">
      <w:pPr>
        <w:spacing w:line="240" w:lineRule="auto"/>
        <w:rPr>
          <w:b/>
          <w:lang w:eastAsia="pl-PL"/>
        </w:rPr>
      </w:pPr>
      <w:r w:rsidRPr="007D68E9">
        <w:rPr>
          <w:b/>
          <w:lang w:eastAsia="pl-PL"/>
        </w:rPr>
        <w:t>Personel projektu</w:t>
      </w:r>
    </w:p>
    <w:p w:rsidR="007D68E9" w:rsidRPr="007D68E9" w:rsidRDefault="007D68E9" w:rsidP="007D68E9">
      <w:pPr>
        <w:spacing w:line="240" w:lineRule="auto"/>
        <w:rPr>
          <w:b/>
          <w:lang w:eastAsia="pl-PL"/>
        </w:rPr>
      </w:pPr>
      <w:r w:rsidRPr="007D68E9">
        <w:rPr>
          <w:b/>
          <w:lang w:eastAsia="pl-PL"/>
        </w:rPr>
        <w:t>Dostawy (inne niż środki trwałe)</w:t>
      </w:r>
    </w:p>
    <w:p w:rsidR="00596B9B" w:rsidRDefault="007D68E9" w:rsidP="007D68E9">
      <w:pPr>
        <w:spacing w:line="360" w:lineRule="auto"/>
        <w:rPr>
          <w:b/>
          <w:lang w:eastAsia="pl-PL"/>
        </w:rPr>
      </w:pPr>
      <w:r w:rsidRPr="007D68E9">
        <w:rPr>
          <w:b/>
          <w:lang w:eastAsia="pl-PL"/>
        </w:rPr>
        <w:lastRenderedPageBreak/>
        <w:t>Która z powyższych kategorii powinna być przyporządkowana do kosztu refundacji usług rozwojowych? Czy wkład własny uczestników projektu wnoszony do kosztów usługi rozwojowej (5% jej wartości)  powinien być wpisany do budżetu projektu jako oddzielna pozycja?</w:t>
      </w:r>
    </w:p>
    <w:p w:rsidR="007D68E9" w:rsidRDefault="007D68E9" w:rsidP="007D68E9">
      <w:pPr>
        <w:spacing w:line="360" w:lineRule="auto"/>
        <w:rPr>
          <w:b/>
          <w:bCs/>
        </w:rPr>
      </w:pPr>
    </w:p>
    <w:p w:rsidR="007D68E9" w:rsidRDefault="007D68E9" w:rsidP="007D68E9">
      <w:pPr>
        <w:spacing w:after="0" w:line="360" w:lineRule="auto"/>
        <w:rPr>
          <w:b/>
          <w:bCs/>
        </w:rPr>
      </w:pPr>
      <w:r w:rsidRPr="00CA037C">
        <w:rPr>
          <w:b/>
        </w:rPr>
        <w:t>Odpowiedź z 0</w:t>
      </w:r>
      <w:r>
        <w:rPr>
          <w:b/>
        </w:rPr>
        <w:t>3</w:t>
      </w:r>
      <w:r w:rsidRPr="00CA037C">
        <w:rPr>
          <w:b/>
        </w:rPr>
        <w:t>.07.2024:</w:t>
      </w:r>
    </w:p>
    <w:p w:rsidR="007D68E9" w:rsidRDefault="007D68E9" w:rsidP="007D68E9">
      <w:pPr>
        <w:autoSpaceDE w:val="0"/>
        <w:autoSpaceDN w:val="0"/>
        <w:spacing w:line="360" w:lineRule="auto"/>
      </w:pPr>
      <w:bookmarkStart w:id="1" w:name="_Hlk170898818"/>
      <w:r>
        <w:t>Koszt usługi rozwojowej będący refundacją kosztów poniesionych przez uczestników projektu należy przyporządkować do kategorii Usługi zewnętrzne. Nie ma konieczności wykazywania wkładu własnego uczestników projektu jako oddzielna pozycja w budżecie projektu. W polu Wartość ogółem należy wpisać całkowitą kwotę usługi rozwojowej, natomiast w polu Dofinansowanie koszt wydatku pomniejszony o wartość wkładu własnego.</w:t>
      </w:r>
    </w:p>
    <w:bookmarkEnd w:id="1"/>
    <w:p w:rsidR="007D68E9" w:rsidRDefault="007D68E9" w:rsidP="004A014D">
      <w:pPr>
        <w:pStyle w:val="Akapitzlist"/>
        <w:spacing w:after="0" w:line="360" w:lineRule="auto"/>
        <w:ind w:left="0"/>
        <w:rPr>
          <w:b/>
          <w:color w:val="4472C4" w:themeColor="accent1"/>
        </w:rPr>
      </w:pPr>
    </w:p>
    <w:p w:rsidR="004A014D" w:rsidRDefault="004A014D" w:rsidP="004A014D">
      <w:pPr>
        <w:pStyle w:val="Akapitzlist"/>
        <w:spacing w:after="0" w:line="360" w:lineRule="auto"/>
        <w:ind w:left="0"/>
        <w:rPr>
          <w:b/>
          <w:color w:val="4472C4" w:themeColor="accent1"/>
        </w:rPr>
      </w:pPr>
      <w:bookmarkStart w:id="2" w:name="_GoBack"/>
      <w:bookmarkEnd w:id="2"/>
      <w:r>
        <w:rPr>
          <w:b/>
          <w:color w:val="4472C4" w:themeColor="accent1"/>
        </w:rPr>
        <w:t>KONTROLA</w:t>
      </w:r>
    </w:p>
    <w:p w:rsidR="004A014D" w:rsidRDefault="004A014D" w:rsidP="004A014D">
      <w:pPr>
        <w:pStyle w:val="Akapitzlist"/>
        <w:spacing w:after="0" w:line="360" w:lineRule="auto"/>
        <w:ind w:left="0"/>
        <w:rPr>
          <w:b/>
          <w:color w:val="4472C4" w:themeColor="accent1"/>
        </w:rPr>
      </w:pPr>
    </w:p>
    <w:p w:rsidR="004A014D" w:rsidRDefault="004A014D" w:rsidP="004A014D">
      <w:pPr>
        <w:spacing w:after="0" w:line="360" w:lineRule="auto"/>
        <w:rPr>
          <w:b/>
          <w:color w:val="4472C4" w:themeColor="accent1"/>
        </w:rPr>
      </w:pPr>
      <w:bookmarkStart w:id="3" w:name="_Hlk170453289"/>
      <w:r>
        <w:rPr>
          <w:rFonts w:eastAsia="Times New Roman"/>
          <w:b/>
        </w:rPr>
        <w:t xml:space="preserve">1. Jaki jest oczekiwany % kontroli usług rozwojowych na poziomie całego projektu? </w:t>
      </w:r>
    </w:p>
    <w:bookmarkEnd w:id="3"/>
    <w:p w:rsidR="004A014D" w:rsidRDefault="004A014D" w:rsidP="004A014D">
      <w:pPr>
        <w:spacing w:after="0" w:line="360" w:lineRule="auto"/>
        <w:rPr>
          <w:b/>
          <w:color w:val="4472C4" w:themeColor="accent1"/>
        </w:rPr>
      </w:pPr>
    </w:p>
    <w:p w:rsidR="004A014D" w:rsidRDefault="004A014D" w:rsidP="004A014D">
      <w:pPr>
        <w:spacing w:after="0" w:line="360" w:lineRule="auto"/>
        <w:rPr>
          <w:rFonts w:eastAsia="Calibri" w:cstheme="minorHAnsi"/>
          <w:b/>
          <w:bCs/>
        </w:rPr>
      </w:pPr>
      <w:r>
        <w:rPr>
          <w:rFonts w:eastAsia="Calibri" w:cstheme="minorHAnsi"/>
          <w:b/>
          <w:bCs/>
        </w:rPr>
        <w:t>Odpowiedź z 19.06.2024:</w:t>
      </w:r>
    </w:p>
    <w:p w:rsidR="004A014D" w:rsidRDefault="004A014D" w:rsidP="00890421">
      <w:pPr>
        <w:pStyle w:val="Tekstpodstawowy"/>
        <w:autoSpaceDE w:val="0"/>
        <w:autoSpaceDN w:val="0"/>
        <w:spacing w:after="60" w:line="360" w:lineRule="auto"/>
        <w:jc w:val="left"/>
        <w:rPr>
          <w:rFonts w:ascii="Calibri" w:hAnsi="Calibri" w:cs="Calibri"/>
          <w:sz w:val="22"/>
          <w:szCs w:val="22"/>
        </w:rPr>
      </w:pPr>
      <w:bookmarkStart w:id="4" w:name="_Hlk170453263"/>
      <w:r>
        <w:rPr>
          <w:rFonts w:ascii="Calibri" w:hAnsi="Calibri" w:cs="Calibri"/>
          <w:color w:val="000000"/>
          <w:sz w:val="22"/>
          <w:szCs w:val="22"/>
          <w:lang w:eastAsia="en-US"/>
        </w:rPr>
        <w:t xml:space="preserve">Istotny element kontroli projektu PSF prowadzonych przez operatorów stanowi wizyta monitoringowa w  miejscu realizacji usługi rozwojowej, której celem jest sprawdzenie faktycznego dostarczenia usługi rozwojowej i jej zgodności ze standardami określonymi m.in. w Karcie Usługi, w tym także w zakresie zgodności z zasadą niedyskryminacji oraz dostępności dla osób z niepełnosprawnościami. </w:t>
      </w:r>
    </w:p>
    <w:p w:rsidR="004A014D" w:rsidRDefault="004A014D" w:rsidP="00890421">
      <w:pPr>
        <w:spacing w:line="360" w:lineRule="auto"/>
        <w:rPr>
          <w:rFonts w:eastAsia="Times New Roman"/>
        </w:rPr>
      </w:pPr>
      <w:r>
        <w:rPr>
          <w:color w:val="000000"/>
        </w:rPr>
        <w:t>Analogicznie jak w przypadku kontroli realizowanych przez IZ, każdy z Operatorów zobowiązany będzie do przeprowadzenia wizyty monitoringowej w miejscu realizacji usługi rozwojowej  w co najmniej 15% umów zawartych w danym roku kalendarzowym.</w:t>
      </w:r>
    </w:p>
    <w:bookmarkEnd w:id="4"/>
    <w:p w:rsidR="00BD44EE" w:rsidRPr="00BD44EE" w:rsidRDefault="00BD44EE" w:rsidP="00BD44EE">
      <w:pPr>
        <w:spacing w:after="0" w:line="360" w:lineRule="auto"/>
        <w:rPr>
          <w:b/>
          <w:color w:val="4472C4" w:themeColor="accent1"/>
        </w:rPr>
      </w:pPr>
    </w:p>
    <w:sectPr w:rsidR="00BD44EE" w:rsidRPr="00BD44EE"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A71"/>
    <w:multiLevelType w:val="hybridMultilevel"/>
    <w:tmpl w:val="9CF047D6"/>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B20EFE"/>
    <w:multiLevelType w:val="hybridMultilevel"/>
    <w:tmpl w:val="AC92E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571A28"/>
    <w:multiLevelType w:val="hybridMultilevel"/>
    <w:tmpl w:val="F0FC7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7A15CAA"/>
    <w:multiLevelType w:val="hybridMultilevel"/>
    <w:tmpl w:val="CC6AB81A"/>
    <w:lvl w:ilvl="0" w:tplc="AFA85E1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D76E23D4-DD8E-442C-9DDF-6A35D42B8673}"/>
  </w:docVars>
  <w:rsids>
    <w:rsidRoot w:val="00052937"/>
    <w:rsid w:val="00010B2C"/>
    <w:rsid w:val="000133A3"/>
    <w:rsid w:val="00052937"/>
    <w:rsid w:val="000C36B3"/>
    <w:rsid w:val="0014097E"/>
    <w:rsid w:val="0019634B"/>
    <w:rsid w:val="001D08A2"/>
    <w:rsid w:val="00312C71"/>
    <w:rsid w:val="0032357E"/>
    <w:rsid w:val="003B4889"/>
    <w:rsid w:val="003C7C37"/>
    <w:rsid w:val="004A014D"/>
    <w:rsid w:val="0057250A"/>
    <w:rsid w:val="005913D3"/>
    <w:rsid w:val="00596B9B"/>
    <w:rsid w:val="00597223"/>
    <w:rsid w:val="0061735B"/>
    <w:rsid w:val="00617889"/>
    <w:rsid w:val="00625671"/>
    <w:rsid w:val="00690E64"/>
    <w:rsid w:val="006923BF"/>
    <w:rsid w:val="006E4350"/>
    <w:rsid w:val="006E6D3A"/>
    <w:rsid w:val="007459EA"/>
    <w:rsid w:val="007A3DC0"/>
    <w:rsid w:val="007D2BFF"/>
    <w:rsid w:val="007D68E9"/>
    <w:rsid w:val="008122A4"/>
    <w:rsid w:val="00845811"/>
    <w:rsid w:val="0085797D"/>
    <w:rsid w:val="00872580"/>
    <w:rsid w:val="00890421"/>
    <w:rsid w:val="008A2989"/>
    <w:rsid w:val="008E38A4"/>
    <w:rsid w:val="0090180B"/>
    <w:rsid w:val="00913E8D"/>
    <w:rsid w:val="00974320"/>
    <w:rsid w:val="00A0103F"/>
    <w:rsid w:val="00A1228A"/>
    <w:rsid w:val="00A5067C"/>
    <w:rsid w:val="00A63EB5"/>
    <w:rsid w:val="00A97B6B"/>
    <w:rsid w:val="00AD1BAF"/>
    <w:rsid w:val="00B337F6"/>
    <w:rsid w:val="00B62776"/>
    <w:rsid w:val="00B81240"/>
    <w:rsid w:val="00B8257D"/>
    <w:rsid w:val="00BD44EE"/>
    <w:rsid w:val="00C867EE"/>
    <w:rsid w:val="00C87AEC"/>
    <w:rsid w:val="00C97BD5"/>
    <w:rsid w:val="00CA037C"/>
    <w:rsid w:val="00CC3ADB"/>
    <w:rsid w:val="00CF68FE"/>
    <w:rsid w:val="00D12332"/>
    <w:rsid w:val="00D15E24"/>
    <w:rsid w:val="00D25F4B"/>
    <w:rsid w:val="00DB157B"/>
    <w:rsid w:val="00DE1EA6"/>
    <w:rsid w:val="00E51A24"/>
    <w:rsid w:val="00E55758"/>
    <w:rsid w:val="00E559DC"/>
    <w:rsid w:val="00E7062A"/>
    <w:rsid w:val="00E737A1"/>
    <w:rsid w:val="00EC1C7C"/>
    <w:rsid w:val="00F06633"/>
    <w:rsid w:val="00F36859"/>
    <w:rsid w:val="00F53C39"/>
    <w:rsid w:val="00F6494D"/>
    <w:rsid w:val="00FA06BD"/>
    <w:rsid w:val="00FA3A9D"/>
    <w:rsid w:val="00FB6B6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9BE1"/>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3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E737A1"/>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B81240"/>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845811"/>
  </w:style>
  <w:style w:type="paragraph" w:styleId="Tekstpodstawowy">
    <w:name w:val="Body Text"/>
    <w:basedOn w:val="Normalny"/>
    <w:link w:val="TekstpodstawowyZnak"/>
    <w:uiPriority w:val="99"/>
    <w:semiHidden/>
    <w:unhideWhenUsed/>
    <w:rsid w:val="00BD44EE"/>
    <w:pPr>
      <w:spacing w:after="0" w:line="240" w:lineRule="auto"/>
      <w:jc w:val="both"/>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D44EE"/>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4155">
      <w:bodyDiv w:val="1"/>
      <w:marLeft w:val="0"/>
      <w:marRight w:val="0"/>
      <w:marTop w:val="0"/>
      <w:marBottom w:val="0"/>
      <w:divBdr>
        <w:top w:val="none" w:sz="0" w:space="0" w:color="auto"/>
        <w:left w:val="none" w:sz="0" w:space="0" w:color="auto"/>
        <w:bottom w:val="none" w:sz="0" w:space="0" w:color="auto"/>
        <w:right w:val="none" w:sz="0" w:space="0" w:color="auto"/>
      </w:divBdr>
    </w:div>
    <w:div w:id="1088385795">
      <w:bodyDiv w:val="1"/>
      <w:marLeft w:val="0"/>
      <w:marRight w:val="0"/>
      <w:marTop w:val="0"/>
      <w:marBottom w:val="0"/>
      <w:divBdr>
        <w:top w:val="none" w:sz="0" w:space="0" w:color="auto"/>
        <w:left w:val="none" w:sz="0" w:space="0" w:color="auto"/>
        <w:bottom w:val="none" w:sz="0" w:space="0" w:color="auto"/>
        <w:right w:val="none" w:sz="0" w:space="0" w:color="auto"/>
      </w:divBdr>
    </w:div>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 w:id="2036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23D4-DD8E-442C-9DDF-6A35D42B8673}">
  <ds:schemaRefs>
    <ds:schemaRef ds:uri="http://www.w3.org/2001/XMLSchema"/>
  </ds:schemaRefs>
</ds:datastoreItem>
</file>

<file path=customXml/itemProps2.xml><?xml version="1.0" encoding="utf-8"?>
<ds:datastoreItem xmlns:ds="http://schemas.openxmlformats.org/officeDocument/2006/customXml" ds:itemID="{40E29960-EDF6-4095-83E1-2CB828E3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3062</Words>
  <Characters>18374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Mojek Daria</cp:lastModifiedBy>
  <cp:revision>13</cp:revision>
  <dcterms:created xsi:type="dcterms:W3CDTF">2024-06-25T05:40:00Z</dcterms:created>
  <dcterms:modified xsi:type="dcterms:W3CDTF">2024-07-04T13:02:00Z</dcterms:modified>
</cp:coreProperties>
</file>