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76" w:rsidRPr="0019634B" w:rsidRDefault="00B62776" w:rsidP="0019634B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color w:val="212529"/>
          <w:lang w:eastAsia="pl-PL"/>
        </w:rPr>
        <w:t>Pytania i odpowiedzi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color w:val="212529"/>
          <w:lang w:eastAsia="pl-PL"/>
        </w:rPr>
        <w:t>Pytania dotyczące naboru należy kierować najpóźniej do dnia zakończenia naboru wniosków na adres poczty elektronicznej: </w:t>
      </w:r>
      <w:hyperlink r:id="rId9" w:history="1">
        <w:r w:rsidR="00253A1C" w:rsidRPr="003C033C">
          <w:rPr>
            <w:rStyle w:val="Hipercze"/>
            <w:rFonts w:eastAsia="Times New Roman" w:cstheme="minorHAnsi"/>
            <w:lang w:eastAsia="pl-PL"/>
          </w:rPr>
          <w:t>integracja.efs@pomorskie.eu</w:t>
        </w:r>
      </w:hyperlink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UWAGA!!!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Każde pytanie ze strony wnioskodawcy jest rozpatrywane indywidualnie przez IZ FEP.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590F4E" w:rsidRDefault="00590F4E" w:rsidP="00C80F3C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DOKUMENTY</w:t>
      </w:r>
      <w:r w:rsidRPr="00590F4E">
        <w:rPr>
          <w:rFonts w:eastAsia="Times New Roman"/>
          <w:lang w:eastAsia="pl-PL"/>
        </w:rPr>
        <w:t xml:space="preserve"> (regulaminy, Zasady, Wytyczne, tryb wyboru</w:t>
      </w:r>
      <w:r>
        <w:rPr>
          <w:rFonts w:eastAsia="Times New Roman"/>
          <w:lang w:eastAsia="pl-PL"/>
        </w:rPr>
        <w:t>):</w:t>
      </w:r>
    </w:p>
    <w:p w:rsidR="00590F4E" w:rsidRPr="00590F4E" w:rsidRDefault="00590F4E" w:rsidP="00590F4E">
      <w:pPr>
        <w:rPr>
          <w:lang w:eastAsia="pl-PL"/>
        </w:rPr>
      </w:pPr>
    </w:p>
    <w:p w:rsidR="00590F4E" w:rsidRDefault="00590F4E" w:rsidP="00590F4E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Na </w:t>
      </w:r>
      <w:proofErr w:type="spellStart"/>
      <w:r>
        <w:rPr>
          <w:rFonts w:eastAsia="Times New Roman"/>
          <w:u w:val="single"/>
        </w:rPr>
        <w:t>str</w:t>
      </w:r>
      <w:proofErr w:type="spellEnd"/>
      <w:r>
        <w:rPr>
          <w:rFonts w:eastAsia="Times New Roman"/>
          <w:u w:val="single"/>
        </w:rPr>
        <w:t xml:space="preserve"> 12 Regulaminu wskazano: </w:t>
      </w:r>
    </w:p>
    <w:p w:rsidR="00590F4E" w:rsidRDefault="00590F4E" w:rsidP="00590F4E"/>
    <w:p w:rsidR="00590F4E" w:rsidRDefault="00590F4E" w:rsidP="00590F4E">
      <w:pPr>
        <w:pStyle w:val="gmail-msolistparagraph"/>
        <w:spacing w:before="120" w:beforeAutospacing="0" w:after="0" w:afterAutospacing="0" w:line="276" w:lineRule="auto"/>
        <w:ind w:left="641"/>
      </w:pPr>
      <w:r>
        <w:rPr>
          <w:b/>
          <w:bCs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b/>
          <w:bCs/>
        </w:rPr>
        <w:t>załączniki dla pomocy</w:t>
      </w:r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minimis</w:t>
      </w:r>
      <w:proofErr w:type="spellEnd"/>
      <w:r>
        <w:rPr>
          <w:b/>
          <w:bCs/>
        </w:rPr>
        <w:t>:</w:t>
      </w:r>
    </w:p>
    <w:p w:rsidR="00590F4E" w:rsidRDefault="00590F4E" w:rsidP="00590F4E">
      <w:pPr>
        <w:pStyle w:val="gmail-msolistparagraph"/>
        <w:spacing w:before="120" w:beforeAutospacing="0" w:after="0" w:afterAutospacing="0" w:line="276" w:lineRule="auto"/>
        <w:ind w:left="992"/>
      </w:pPr>
      <w:r>
        <w:t>a)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kopie zaświadczeń o otrzymanej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, jakie wnioskodawca otrzymał w ciągu minionych 3 lat, zgodnie z art. 3 ust. 2 rozporządzenia Komisji (UE) 2023/2831 z dnia 13 grudnia 2023 r. w sprawie stosowania art. 107 i 108 Traktatu o funkcjonowaniu Unii Europejskiej do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(z uwzględnieniem uwagi zawartej w pkt 11 wprowadzenia do ww. rozporządzenia), albo oświadczenie o wielkości tej pomocy otrzymanej w tym okresie, albo oświadczenie o nieotrzymaniu takiej pomocy w tym okresie;</w:t>
      </w:r>
    </w:p>
    <w:p w:rsidR="00590F4E" w:rsidRDefault="00590F4E" w:rsidP="00590F4E">
      <w:pPr>
        <w:pStyle w:val="gmail-msolistparagraph"/>
        <w:spacing w:before="120" w:beforeAutospacing="0" w:after="0" w:afterAutospacing="0" w:line="276" w:lineRule="auto"/>
        <w:ind w:left="992"/>
      </w:pPr>
      <w:r>
        <w:t>b)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t xml:space="preserve">informacje, o których mowa w art. 37 ust. 1 pkt 2 ustawy z dnia 30 kwietnia 2004 r. o postępowaniu w sprawach dotyczących pomocy publicznej. Zakres niezbędnych informacji określa rozporządzenie Rady Ministrów z dnia 29 marca 2010 r. w sprawie zakresu informacji przedstawianych przez podmiot ubiegający się o pomoc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>(Dz. U. z 2024 r. poz. 40);</w:t>
      </w:r>
    </w:p>
    <w:p w:rsidR="00590F4E" w:rsidRDefault="00590F4E" w:rsidP="00590F4E">
      <w:pPr>
        <w:pStyle w:val="gmail-msolistparagraph"/>
        <w:spacing w:before="120" w:beforeAutospacing="0" w:after="0" w:afterAutospacing="0" w:line="276" w:lineRule="auto"/>
        <w:ind w:left="992"/>
      </w:pPr>
      <w:r>
        <w:t>Gdzie można znaleźć wzory tych dokumentów?</w:t>
      </w:r>
    </w:p>
    <w:p w:rsidR="00590F4E" w:rsidRDefault="00590F4E" w:rsidP="00590F4E">
      <w:pPr>
        <w:pStyle w:val="gmail-msolistparagraph"/>
        <w:spacing w:before="120" w:beforeAutospacing="0" w:after="0" w:afterAutospacing="0" w:line="276" w:lineRule="auto"/>
        <w:ind w:left="992"/>
      </w:pPr>
    </w:p>
    <w:p w:rsidR="00590F4E" w:rsidRDefault="00590F4E" w:rsidP="00590F4E">
      <w:r>
        <w:t>Odpowiedź z 05.07.2024 r.:</w:t>
      </w:r>
    </w:p>
    <w:p w:rsidR="00590F4E" w:rsidRDefault="00590F4E" w:rsidP="00590F4E"/>
    <w:p w:rsidR="00590F4E" w:rsidRDefault="00590F4E" w:rsidP="00590F4E">
      <w:pPr>
        <w:rPr>
          <w:lang w:eastAsia="pl-PL"/>
        </w:rPr>
      </w:pPr>
      <w:r>
        <w:rPr>
          <w:lang w:eastAsia="pl-PL"/>
        </w:rPr>
        <w:t xml:space="preserve">Zgodnie z podrozdziałem 1.8 regulaminu wyboru projektów w przypadku, gdy podmiot ubiegający się o pomoc publiczną lub pomoc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 xml:space="preserve"> jest jednocześnie wnioskodawcą, ma obowiązek:</w:t>
      </w:r>
    </w:p>
    <w:p w:rsidR="00590F4E" w:rsidRDefault="00590F4E" w:rsidP="00590F4E">
      <w:r>
        <w:t xml:space="preserve">I.             zaznaczyć odpowiednie pole dotyczące pomocy publicznej/pomocy de </w:t>
      </w:r>
      <w:proofErr w:type="spellStart"/>
      <w:r>
        <w:t>minimis</w:t>
      </w:r>
      <w:proofErr w:type="spellEnd"/>
      <w:r>
        <w:t xml:space="preserve"> we wniosku w sekcji Oświadczenia;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>II.            załączyć dodatkowe załączniki do wniosku podlegające ocenie/weryfikacji w ramach oceny kryterium wykonalności finansowej na etapie oceny merytorycznej, które ION dopuszcza do uzupełnienia na etapie negocjacji, zgodnie z poniższym wyszczególnieniem: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 xml:space="preserve">1.            załączniki dla pomocy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>: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 xml:space="preserve">a)            kopie zaświadczeń o otrzymanej pomocy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 xml:space="preserve">, jakie otrzymał w roku, w którym ubiega się o pomoc, oraz w ciągu 2 poprzedzających go lat podatkowych, albo oświadczenie o wielkości tej pomocy otrzymanej w tym okresie, albo oświadczenie o nieotrzymaniu takiej pomocy w tym okresie, o których mowa w </w:t>
      </w:r>
      <w:r>
        <w:rPr>
          <w:lang w:eastAsia="pl-PL"/>
        </w:rPr>
        <w:lastRenderedPageBreak/>
        <w:t>art. 37 ust. 1 pkt 1 ustawy z dnia 30 kwietnia 2004 r. o postępowaniu w sprawach dotyczących pomocy publicznej;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 xml:space="preserve">b)           informacje, o których mowa w art. 37 ust. 1 pkt 2 ustawy z dnia 30 kwietnia 2004 r. o postępowaniu w sprawach dotyczących pomocy publicznej. Zakres niezbędnych informacji określa rozporządzenie Rady Ministrów z dnia 29 marca 2010 r. w sprawie zakresu informacji przedstawianych przez podmiot ubiegający się o pomoc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 xml:space="preserve"> (Dz. U. z 2024 r. poz. 40);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 xml:space="preserve">2.            załączniki dla pomocy publicznej - informacje dotyczące wnioskodawcy i prowadzonej przez niego działalności gospodarczej oraz informacje o otrzymanej pomocy publicznej. Zakres niezbędnych informacji określa rozporządzenie Rady Ministrów z dnia 29 marca 2010 r. w sprawie zakresu informacji przedstawianych przez podmiot ubiegający się o pomoc inną niż pomoc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 xml:space="preserve"> lub pomoc de </w:t>
      </w:r>
      <w:proofErr w:type="spellStart"/>
      <w:r>
        <w:rPr>
          <w:lang w:eastAsia="pl-PL"/>
        </w:rPr>
        <w:t>minimis</w:t>
      </w:r>
      <w:proofErr w:type="spellEnd"/>
      <w:r>
        <w:rPr>
          <w:lang w:eastAsia="pl-PL"/>
        </w:rPr>
        <w:t xml:space="preserve"> w rolnictwie lub rybołówstwie (Dz. U. z 2010 r. nr 53, poz. 312), zmienione rozporządzeniem z dnia 16 grudnia 2010 r. (Dz. U. z 2010 r. nr 254, poz. 1704), zmienione rozporządzeniem z dnia 2 lutego 2016 r. (Dz. U. z 2016 r. poz. 238) oraz rozporządzeniem z dnia 27 lipca 2020 r. (Dz. U. z 2020 r. poz. 1338).</w:t>
      </w:r>
    </w:p>
    <w:p w:rsidR="00590F4E" w:rsidRDefault="00590F4E" w:rsidP="00590F4E">
      <w:pPr>
        <w:rPr>
          <w:lang w:eastAsia="pl-PL"/>
        </w:rPr>
      </w:pPr>
      <w:r>
        <w:rPr>
          <w:lang w:eastAsia="pl-PL"/>
        </w:rPr>
        <w:t>Oświadczenia wskazane w pkt 1 lit. a oraz informacje wskazane w pkt 1 lit. b lub pkt 2 wnioskodawca składa w formie skanów podpisanych dokumentów przez osobę/y uprawnioną/e do reprezentowania wnioskodawcy wskazaną/e w sekcji wniosku - Dodatkowe informacje.</w:t>
      </w:r>
    </w:p>
    <w:p w:rsidR="00590F4E" w:rsidRDefault="00590F4E" w:rsidP="00590F4E">
      <w:r>
        <w:t>Oświadczenia wskazane w pkt 1 lit. a oraz informacje wskazane w pkt 1 lit. b lub pkt 2 wnioskodawca składa w formie skanów podpisanych dokumentów przez osobę/y uprawnioną/e do reprezentowania wnioskodawcy wskazaną/e w sekcji wniosku - Dodatkowe informacje.</w:t>
      </w:r>
    </w:p>
    <w:p w:rsidR="00590F4E" w:rsidRDefault="00590F4E" w:rsidP="00590F4E">
      <w:r>
        <w:t xml:space="preserve">Oryginał lub kopie potwierdzone za zgodność z oryginałem ww. dokumentów dotyczących pomocy de </w:t>
      </w:r>
      <w:proofErr w:type="spellStart"/>
      <w:r>
        <w:t>minimis</w:t>
      </w:r>
      <w:proofErr w:type="spellEnd"/>
      <w:r>
        <w:t xml:space="preserve"> lub innej pomocy niż pomoc de </w:t>
      </w:r>
      <w:proofErr w:type="spellStart"/>
      <w:r>
        <w:t>minimis</w:t>
      </w:r>
      <w:proofErr w:type="spellEnd"/>
      <w:r>
        <w:t xml:space="preserve"> ION będzie wymagała na etapie podpisywania umowy o dofinansowanie.</w:t>
      </w:r>
    </w:p>
    <w:p w:rsidR="00590F4E" w:rsidRDefault="00590F4E" w:rsidP="00590F4E">
      <w:r>
        <w:t>Oświadczenie składa tylko wnioskodawca.</w:t>
      </w:r>
    </w:p>
    <w:p w:rsidR="00590F4E" w:rsidRDefault="00590F4E" w:rsidP="00590F4E">
      <w:r>
        <w:t xml:space="preserve">Formularz informacji z punktu b znajdziecie Państwo w rozporządzenie Rady Ministrów z dnia 29 marca 2010 r. w sprawie zakresu informacji przedstawianych przez podmiot ubiegający się o pomoc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>(Dz. U. z 2024 r. poz. 40) i taki właśnie formularz należy wypełnić.</w:t>
      </w:r>
    </w:p>
    <w:p w:rsidR="008B2ECA" w:rsidRPr="00590F4E" w:rsidRDefault="008B2ECA" w:rsidP="00590F4E"/>
    <w:p w:rsidR="00590F4E" w:rsidRDefault="00590F4E" w:rsidP="00F76E36">
      <w:pPr>
        <w:pStyle w:val="Nagwek1"/>
        <w:rPr>
          <w:lang w:eastAsia="pl-PL"/>
        </w:rPr>
      </w:pPr>
      <w:r w:rsidRPr="00590F4E">
        <w:rPr>
          <w:lang w:eastAsia="pl-PL"/>
        </w:rPr>
        <w:t>KWALIFIKOWALNOŚĆ PROJEKTU:</w:t>
      </w:r>
    </w:p>
    <w:p w:rsidR="00590F4E" w:rsidRDefault="00590F4E" w:rsidP="00590F4E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>Kwalifikowalność VAT - czy w przypadku, gdy mamy możliwość odzyskania vat - vat również MUSI być kwalifikowany czy możemy wybrać czy go kwalifikujemy czy nie?</w:t>
      </w:r>
    </w:p>
    <w:p w:rsidR="00590F4E" w:rsidRDefault="00590F4E" w:rsidP="00590F4E">
      <w:pPr>
        <w:pStyle w:val="Akapitzlist"/>
        <w:rPr>
          <w:color w:val="000000"/>
          <w:u w:val="single"/>
        </w:rPr>
      </w:pPr>
    </w:p>
    <w:p w:rsidR="00590F4E" w:rsidRDefault="00590F4E" w:rsidP="00590F4E">
      <w:pPr>
        <w:autoSpaceDE w:val="0"/>
        <w:autoSpaceDN w:val="0"/>
        <w:spacing w:line="276" w:lineRule="auto"/>
        <w:rPr>
          <w:color w:val="000000"/>
        </w:rPr>
      </w:pPr>
      <w:r>
        <w:rPr>
          <w:color w:val="000000"/>
        </w:rPr>
        <w:t>Odp</w:t>
      </w:r>
      <w:r w:rsidR="008B2ECA">
        <w:rPr>
          <w:color w:val="000000"/>
        </w:rPr>
        <w:t>owiedź</w:t>
      </w:r>
      <w:r>
        <w:rPr>
          <w:color w:val="000000"/>
        </w:rPr>
        <w:t xml:space="preserve"> z 05.07.2024 r.:</w:t>
      </w:r>
    </w:p>
    <w:p w:rsidR="00590F4E" w:rsidRDefault="00590F4E" w:rsidP="00590F4E">
      <w:pPr>
        <w:autoSpaceDE w:val="0"/>
        <w:autoSpaceDN w:val="0"/>
        <w:spacing w:line="276" w:lineRule="auto"/>
        <w:rPr>
          <w:color w:val="000000"/>
        </w:rPr>
      </w:pPr>
      <w:r>
        <w:rPr>
          <w:color w:val="000000"/>
        </w:rPr>
        <w:t xml:space="preserve">Zgodnie z </w:t>
      </w:r>
      <w:r>
        <w:rPr>
          <w:i/>
          <w:iCs/>
          <w:color w:val="000000"/>
        </w:rPr>
        <w:t>Wytycznymi dotyczącymi kwalifikowalności wydatków na lata 2021-2027</w:t>
      </w:r>
      <w:r>
        <w:rPr>
          <w:color w:val="000000"/>
        </w:rPr>
        <w:t xml:space="preserve">, podatek VAT w projekcie, którego łączny koszt jest </w:t>
      </w:r>
      <w:r>
        <w:rPr>
          <w:b/>
          <w:bCs/>
          <w:color w:val="000000"/>
        </w:rPr>
        <w:t>mniejszy niż 5 mln EUR</w:t>
      </w:r>
      <w:r>
        <w:rPr>
          <w:color w:val="000000"/>
        </w:rPr>
        <w:t xml:space="preserve"> (włączając VAT) jest kwalifikowalny. </w:t>
      </w:r>
    </w:p>
    <w:p w:rsidR="00590F4E" w:rsidRDefault="00590F4E" w:rsidP="00590F4E">
      <w:pPr>
        <w:rPr>
          <w:color w:val="000000"/>
        </w:rPr>
      </w:pPr>
      <w:r>
        <w:rPr>
          <w:color w:val="000000"/>
        </w:rPr>
        <w:t>Oznacza to, że jest możliwość kwalifikowania podatku VAT w tych projektach bez względu na to czy podatek ten może zostać odzyskany przez beneficjenta lub inny podmiot zaangażowany w projekt lub wykorzystujący do działalności opodatkowanej produkty będące efektem realizacji projektu.</w:t>
      </w:r>
    </w:p>
    <w:p w:rsidR="00590F4E" w:rsidRDefault="00590F4E" w:rsidP="00590F4E">
      <w:pPr>
        <w:rPr>
          <w:color w:val="000000"/>
        </w:rPr>
      </w:pPr>
      <w:r>
        <w:rPr>
          <w:color w:val="000000"/>
        </w:rPr>
        <w:t>W konsekwencji, w projektach o wartości poniżej 5 mln EUR, nie ma konieczności składania przez beneficjenta lub partnerów oświadczenia o braku możliwości odliczania podatku VAT.</w:t>
      </w:r>
    </w:p>
    <w:p w:rsidR="00590F4E" w:rsidRDefault="00590F4E" w:rsidP="00590F4E">
      <w:pPr>
        <w:autoSpaceDE w:val="0"/>
        <w:autoSpaceDN w:val="0"/>
        <w:spacing w:line="276" w:lineRule="auto"/>
        <w:rPr>
          <w:color w:val="000000"/>
        </w:rPr>
      </w:pPr>
      <w:r>
        <w:rPr>
          <w:color w:val="000000"/>
        </w:rPr>
        <w:t xml:space="preserve">Kwalifikowalność podatku VAT podlega jednak dodatkowym ograniczeniom wynikającym z zasad udzielania pomocy publicznej. Oznacza to, że jeżeli w projekcie wystąpi pomoc publiczna, a wnioskodawca ma potencjalną możliwość odzyskania podatku VAT, to możliwy do odzyskania podatek VAT nie będzie stanowił kosztu kwalifikowalnego niezależnie od wartości danego przedsięwzięcia. Powyższy zapis nie dotyczy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>.</w:t>
      </w:r>
    </w:p>
    <w:p w:rsidR="00590F4E" w:rsidRDefault="00590F4E" w:rsidP="00590F4E">
      <w:pPr>
        <w:autoSpaceDE w:val="0"/>
        <w:autoSpaceDN w:val="0"/>
        <w:spacing w:line="276" w:lineRule="auto"/>
        <w:rPr>
          <w:color w:val="000000"/>
        </w:rPr>
      </w:pPr>
    </w:p>
    <w:p w:rsidR="00590F4E" w:rsidRDefault="00590F4E" w:rsidP="00590F4E">
      <w:pPr>
        <w:rPr>
          <w:color w:val="000000"/>
        </w:rPr>
      </w:pPr>
      <w:r>
        <w:rPr>
          <w:color w:val="000000"/>
        </w:rPr>
        <w:lastRenderedPageBreak/>
        <w:t>Dodatkowe informacje na temat rozliczania podatku VAT w projekcie znajdują się w podrozdziale 3.5 Wytycznych dotyczących kwalifikowalności wydatków na lata 2021-2027.</w:t>
      </w:r>
    </w:p>
    <w:p w:rsidR="008B2ECA" w:rsidRDefault="008B2ECA" w:rsidP="00590F4E">
      <w:pPr>
        <w:rPr>
          <w:color w:val="000000"/>
        </w:rPr>
      </w:pPr>
    </w:p>
    <w:p w:rsidR="00590F4E" w:rsidRPr="00590F4E" w:rsidRDefault="008B2ECA" w:rsidP="00F76E36">
      <w:pPr>
        <w:pStyle w:val="Nagwek1"/>
        <w:rPr>
          <w:lang w:eastAsia="pl-PL"/>
        </w:rPr>
      </w:pPr>
      <w:bookmarkStart w:id="0" w:name="_GoBack"/>
      <w:r>
        <w:rPr>
          <w:lang w:eastAsia="pl-PL"/>
        </w:rPr>
        <w:t>MONTAŻ FINANSOWY:</w:t>
      </w:r>
    </w:p>
    <w:bookmarkEnd w:id="0"/>
    <w:p w:rsidR="008B2ECA" w:rsidRDefault="008B2ECA" w:rsidP="008B2ECA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>Czy w ramach doposażenia możliwe jest nabycie środków trwałych np. sprzętu o wartości po 10.000 zł? Jeżeli tak to czy jako środek trwały rozumieć sprzęt o wartości netto czy brutto powyżej 10.000 zł?</w:t>
      </w:r>
    </w:p>
    <w:p w:rsidR="008B2ECA" w:rsidRDefault="008B2ECA" w:rsidP="008B2ECA">
      <w:pPr>
        <w:pStyle w:val="Akapitzlist"/>
        <w:rPr>
          <w:color w:val="000000"/>
          <w:u w:val="single"/>
        </w:rPr>
      </w:pPr>
    </w:p>
    <w:p w:rsidR="008B2ECA" w:rsidRDefault="008B2ECA" w:rsidP="008B2ECA">
      <w:pPr>
        <w:rPr>
          <w:color w:val="000000"/>
        </w:rPr>
      </w:pPr>
      <w:r>
        <w:rPr>
          <w:color w:val="000000"/>
        </w:rPr>
        <w:t>Odpowiedź z 05.07.2024 r.:</w:t>
      </w:r>
    </w:p>
    <w:p w:rsidR="008B2ECA" w:rsidRDefault="008B2ECA" w:rsidP="008B2ECA">
      <w:pPr>
        <w:rPr>
          <w:color w:val="000000"/>
        </w:rPr>
      </w:pPr>
      <w:r>
        <w:rPr>
          <w:i/>
          <w:iCs/>
          <w:color w:val="000000"/>
        </w:rPr>
        <w:t>Wytyczne dotyczące kwalifikowalności wydatków na lata 2021-2027</w:t>
      </w:r>
      <w:r>
        <w:rPr>
          <w:color w:val="000000"/>
        </w:rPr>
        <w:t xml:space="preserve"> nie regulują kwestii wartości środków trwałych, lecz odwołują się do definicji wskazanej w art. 3 ust. 1 pkt 15 ustawy z dnia 29 września 1994 r. o rachunkowości (Dz. U. z 2021 r. poz. 217,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 zwanej dalej: „ustawą o rachunkowości”.</w:t>
      </w:r>
    </w:p>
    <w:p w:rsidR="008B2ECA" w:rsidRDefault="008B2ECA" w:rsidP="008B2ECA">
      <w:pPr>
        <w:rPr>
          <w:rStyle w:val="hgkelc"/>
        </w:rPr>
      </w:pPr>
      <w:r>
        <w:rPr>
          <w:rStyle w:val="hgkelc"/>
          <w:color w:val="000000"/>
        </w:rPr>
        <w:t xml:space="preserve">W myśl tej ustawy, środki trwałe to </w:t>
      </w:r>
      <w:r>
        <w:rPr>
          <w:rStyle w:val="hgkelc"/>
          <w:b/>
          <w:bCs/>
          <w:color w:val="000000"/>
        </w:rPr>
        <w:t>rzeczowe aktywa trwałe i zrównane z nimi, o przewidywanym okresie ekonomicznej użyteczności dłuższym niż rok, kompletne, zdatne do użytku i przeznaczone na potrzeby jednostki</w:t>
      </w:r>
      <w:r>
        <w:rPr>
          <w:rStyle w:val="hgkelc"/>
          <w:color w:val="000000"/>
        </w:rPr>
        <w:t>.</w:t>
      </w:r>
    </w:p>
    <w:p w:rsidR="008B2ECA" w:rsidRDefault="008B2ECA" w:rsidP="008B2ECA">
      <w:pPr>
        <w:rPr>
          <w:rStyle w:val="hgkelc"/>
          <w:color w:val="000000"/>
        </w:rPr>
      </w:pPr>
      <w:r>
        <w:rPr>
          <w:rStyle w:val="hgkelc"/>
          <w:color w:val="000000"/>
        </w:rPr>
        <w:t>Zatem zakupy sprzętu, jeżeli będą spełniały ww. definicję, to niezależnie od wartości należy oznaczyć w budżecie jako środki trwałe.</w:t>
      </w:r>
    </w:p>
    <w:p w:rsidR="008B2ECA" w:rsidRDefault="008B2ECA" w:rsidP="008B2ECA">
      <w:pPr>
        <w:rPr>
          <w:rStyle w:val="hgkelc"/>
          <w:color w:val="000000"/>
        </w:rPr>
      </w:pPr>
      <w:r>
        <w:rPr>
          <w:rStyle w:val="hgkelc"/>
          <w:color w:val="000000"/>
        </w:rPr>
        <w:t>Zwracamy jednocześnie uwagę, iż nie został określony w ramach naboru limit na zakup środków trwałych.</w:t>
      </w:r>
    </w:p>
    <w:p w:rsidR="004A014D" w:rsidRPr="008B2ECA" w:rsidRDefault="004A014D" w:rsidP="008B2ECA">
      <w:pPr>
        <w:pStyle w:val="Nagwek1"/>
        <w:rPr>
          <w:rFonts w:eastAsia="Times New Roman"/>
          <w:lang w:eastAsia="pl-PL"/>
        </w:rPr>
      </w:pPr>
    </w:p>
    <w:p w:rsidR="00BD44EE" w:rsidRPr="00BD44EE" w:rsidRDefault="00BD44EE" w:rsidP="00BD44EE">
      <w:pPr>
        <w:spacing w:after="0" w:line="360" w:lineRule="auto"/>
        <w:rPr>
          <w:b/>
          <w:color w:val="4472C4" w:themeColor="accent1"/>
        </w:rPr>
      </w:pPr>
    </w:p>
    <w:sectPr w:rsidR="00BD44EE" w:rsidRPr="00BD44EE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57E" w:rsidRDefault="0032357E" w:rsidP="00E51A24">
      <w:pPr>
        <w:spacing w:after="0" w:line="240" w:lineRule="auto"/>
      </w:pPr>
      <w:r>
        <w:separator/>
      </w:r>
    </w:p>
  </w:endnote>
  <w:endnote w:type="continuationSeparator" w:id="0">
    <w:p w:rsidR="0032357E" w:rsidRDefault="0032357E" w:rsidP="00E5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57E" w:rsidRDefault="0032357E" w:rsidP="00E51A24">
      <w:pPr>
        <w:spacing w:after="0" w:line="240" w:lineRule="auto"/>
      </w:pPr>
      <w:r>
        <w:separator/>
      </w:r>
    </w:p>
  </w:footnote>
  <w:footnote w:type="continuationSeparator" w:id="0">
    <w:p w:rsidR="0032357E" w:rsidRDefault="0032357E" w:rsidP="00E5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A71"/>
    <w:multiLevelType w:val="hybridMultilevel"/>
    <w:tmpl w:val="9CF04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2F2FC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0EFE"/>
    <w:multiLevelType w:val="hybridMultilevel"/>
    <w:tmpl w:val="AC92E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2BAE"/>
    <w:multiLevelType w:val="hybridMultilevel"/>
    <w:tmpl w:val="BB46F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2A40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71A28"/>
    <w:multiLevelType w:val="hybridMultilevel"/>
    <w:tmpl w:val="F0FC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E2764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14FF3"/>
    <w:multiLevelType w:val="hybridMultilevel"/>
    <w:tmpl w:val="C5C2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15CAA"/>
    <w:multiLevelType w:val="hybridMultilevel"/>
    <w:tmpl w:val="CC6AB81A"/>
    <w:lvl w:ilvl="0" w:tplc="AFA85E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56355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59144A0E-5DCC-4284-9A99-1B56738E1AE1}"/>
  </w:docVars>
  <w:rsids>
    <w:rsidRoot w:val="00052937"/>
    <w:rsid w:val="00010B2C"/>
    <w:rsid w:val="000133A3"/>
    <w:rsid w:val="00052937"/>
    <w:rsid w:val="000C36B3"/>
    <w:rsid w:val="0014097E"/>
    <w:rsid w:val="0019634B"/>
    <w:rsid w:val="001D08A2"/>
    <w:rsid w:val="00253A1C"/>
    <w:rsid w:val="002A054D"/>
    <w:rsid w:val="00312C71"/>
    <w:rsid w:val="0032357E"/>
    <w:rsid w:val="003B4889"/>
    <w:rsid w:val="003C7C37"/>
    <w:rsid w:val="004A014D"/>
    <w:rsid w:val="0057250A"/>
    <w:rsid w:val="00590F4E"/>
    <w:rsid w:val="005913D3"/>
    <w:rsid w:val="00596B9B"/>
    <w:rsid w:val="00597223"/>
    <w:rsid w:val="0061735B"/>
    <w:rsid w:val="00617889"/>
    <w:rsid w:val="00625671"/>
    <w:rsid w:val="00690E64"/>
    <w:rsid w:val="006923BF"/>
    <w:rsid w:val="006E4350"/>
    <w:rsid w:val="006E6D3A"/>
    <w:rsid w:val="007459EA"/>
    <w:rsid w:val="007A3DC0"/>
    <w:rsid w:val="007D2BFF"/>
    <w:rsid w:val="007D68E9"/>
    <w:rsid w:val="008122A4"/>
    <w:rsid w:val="00845811"/>
    <w:rsid w:val="0085797D"/>
    <w:rsid w:val="00872580"/>
    <w:rsid w:val="00890421"/>
    <w:rsid w:val="008A2989"/>
    <w:rsid w:val="008B2ECA"/>
    <w:rsid w:val="008E38A4"/>
    <w:rsid w:val="0090180B"/>
    <w:rsid w:val="00913E8D"/>
    <w:rsid w:val="00974320"/>
    <w:rsid w:val="00A0103F"/>
    <w:rsid w:val="00A1228A"/>
    <w:rsid w:val="00A5067C"/>
    <w:rsid w:val="00A63EB5"/>
    <w:rsid w:val="00A97B6B"/>
    <w:rsid w:val="00AD1BAF"/>
    <w:rsid w:val="00B337F6"/>
    <w:rsid w:val="00B62776"/>
    <w:rsid w:val="00B81240"/>
    <w:rsid w:val="00B8257D"/>
    <w:rsid w:val="00BD44EE"/>
    <w:rsid w:val="00C80F3C"/>
    <w:rsid w:val="00C867EE"/>
    <w:rsid w:val="00C87AEC"/>
    <w:rsid w:val="00C97BD5"/>
    <w:rsid w:val="00CA037C"/>
    <w:rsid w:val="00CC3ADB"/>
    <w:rsid w:val="00CF68FE"/>
    <w:rsid w:val="00D12332"/>
    <w:rsid w:val="00D15E24"/>
    <w:rsid w:val="00D25F4B"/>
    <w:rsid w:val="00DB157B"/>
    <w:rsid w:val="00DE1EA6"/>
    <w:rsid w:val="00E51A24"/>
    <w:rsid w:val="00E55758"/>
    <w:rsid w:val="00E559DC"/>
    <w:rsid w:val="00E7062A"/>
    <w:rsid w:val="00E737A1"/>
    <w:rsid w:val="00EC1C7C"/>
    <w:rsid w:val="00F06633"/>
    <w:rsid w:val="00F36859"/>
    <w:rsid w:val="00F53C39"/>
    <w:rsid w:val="00F6494D"/>
    <w:rsid w:val="00F76E36"/>
    <w:rsid w:val="00FA06BD"/>
    <w:rsid w:val="00FA3A9D"/>
    <w:rsid w:val="00FB6B6D"/>
    <w:rsid w:val="00FD736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80F3C"/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A2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A24"/>
    <w:rPr>
      <w:rFonts w:ascii="Calibri" w:hAnsi="Calibri" w:cs="Calibri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semiHidden/>
    <w:unhideWhenUsed/>
    <w:rsid w:val="00E51A2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8124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4581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590F4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hgkelc">
    <w:name w:val="hgkelc"/>
    <w:basedOn w:val="Domylnaczcionkaakapitu"/>
    <w:rsid w:val="008B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tegracja.efs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4A0E-5DCC-4284-9A99-1B56738E1AE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D412573-E89C-469D-BCF8-D591EF29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6192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Cygert Piotr</cp:lastModifiedBy>
  <cp:revision>2</cp:revision>
  <dcterms:created xsi:type="dcterms:W3CDTF">2024-07-09T05:50:00Z</dcterms:created>
  <dcterms:modified xsi:type="dcterms:W3CDTF">2024-07-09T05:50:00Z</dcterms:modified>
</cp:coreProperties>
</file>