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bookmarkStart w:id="2" w:name="_GoBack"/>
      <w:bookmarkEnd w:id="2"/>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bookmarkStart w:id="3" w:name="_Toc164069039"/>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bookmarkEnd w:id="3"/>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2870609D" w14:textId="20ED03F4" w:rsidR="00696F71" w:rsidRDefault="00F12019">
          <w:pPr>
            <w:pStyle w:val="Spistreci1"/>
            <w:rPr>
              <w:noProof/>
              <w:szCs w:val="22"/>
              <w:lang w:eastAsia="pl-PL"/>
            </w:rPr>
          </w:pPr>
          <w:r>
            <w:fldChar w:fldCharType="begin"/>
          </w:r>
          <w:r>
            <w:instrText xml:space="preserve"> TOC \o "1-3" \h \z \u </w:instrText>
          </w:r>
          <w:r>
            <w:fldChar w:fldCharType="separate"/>
          </w:r>
        </w:p>
        <w:p w14:paraId="7A373CC0" w14:textId="105CB73E" w:rsidR="00696F71" w:rsidRDefault="00762A8B">
          <w:pPr>
            <w:pStyle w:val="Spistreci2"/>
            <w:rPr>
              <w:noProof/>
              <w:szCs w:val="22"/>
              <w:lang w:eastAsia="pl-PL"/>
            </w:rPr>
          </w:pPr>
          <w:hyperlink w:anchor="_Toc164069040" w:history="1">
            <w:r w:rsidR="00696F71" w:rsidRPr="001D36B2">
              <w:rPr>
                <w:rStyle w:val="Hipercze"/>
                <w:noProof/>
              </w:rPr>
              <w:t>Podstawa prawna</w:t>
            </w:r>
            <w:r w:rsidR="00696F71">
              <w:rPr>
                <w:noProof/>
                <w:webHidden/>
              </w:rPr>
              <w:tab/>
            </w:r>
            <w:r w:rsidR="00696F71">
              <w:rPr>
                <w:noProof/>
                <w:webHidden/>
              </w:rPr>
              <w:fldChar w:fldCharType="begin"/>
            </w:r>
            <w:r w:rsidR="00696F71">
              <w:rPr>
                <w:noProof/>
                <w:webHidden/>
              </w:rPr>
              <w:instrText xml:space="preserve"> PAGEREF _Toc164069040 \h </w:instrText>
            </w:r>
            <w:r w:rsidR="00696F71">
              <w:rPr>
                <w:noProof/>
                <w:webHidden/>
              </w:rPr>
            </w:r>
            <w:r w:rsidR="00696F71">
              <w:rPr>
                <w:noProof/>
                <w:webHidden/>
              </w:rPr>
              <w:fldChar w:fldCharType="separate"/>
            </w:r>
            <w:r w:rsidR="00A64AB5">
              <w:rPr>
                <w:noProof/>
                <w:webHidden/>
              </w:rPr>
              <w:t>2</w:t>
            </w:r>
            <w:r w:rsidR="00696F71">
              <w:rPr>
                <w:noProof/>
                <w:webHidden/>
              </w:rPr>
              <w:fldChar w:fldCharType="end"/>
            </w:r>
          </w:hyperlink>
        </w:p>
        <w:p w14:paraId="34228A29" w14:textId="3D0793AD" w:rsidR="00696F71" w:rsidRDefault="00762A8B">
          <w:pPr>
            <w:pStyle w:val="Spistreci2"/>
            <w:rPr>
              <w:noProof/>
              <w:szCs w:val="22"/>
              <w:lang w:eastAsia="pl-PL"/>
            </w:rPr>
          </w:pPr>
          <w:hyperlink w:anchor="_Toc164069041" w:history="1">
            <w:r w:rsidR="00696F71" w:rsidRPr="001D36B2">
              <w:rPr>
                <w:rStyle w:val="Hipercze"/>
                <w:noProof/>
              </w:rPr>
              <w:t>Wykaz skrótów</w:t>
            </w:r>
            <w:r w:rsidR="00696F71">
              <w:rPr>
                <w:noProof/>
                <w:webHidden/>
              </w:rPr>
              <w:tab/>
            </w:r>
            <w:r w:rsidR="00696F71">
              <w:rPr>
                <w:noProof/>
                <w:webHidden/>
              </w:rPr>
              <w:fldChar w:fldCharType="begin"/>
            </w:r>
            <w:r w:rsidR="00696F71">
              <w:rPr>
                <w:noProof/>
                <w:webHidden/>
              </w:rPr>
              <w:instrText xml:space="preserve"> PAGEREF _Toc164069041 \h </w:instrText>
            </w:r>
            <w:r w:rsidR="00696F71">
              <w:rPr>
                <w:noProof/>
                <w:webHidden/>
              </w:rPr>
            </w:r>
            <w:r w:rsidR="00696F71">
              <w:rPr>
                <w:noProof/>
                <w:webHidden/>
              </w:rPr>
              <w:fldChar w:fldCharType="separate"/>
            </w:r>
            <w:r w:rsidR="00A64AB5">
              <w:rPr>
                <w:noProof/>
                <w:webHidden/>
              </w:rPr>
              <w:t>2</w:t>
            </w:r>
            <w:r w:rsidR="00696F71">
              <w:rPr>
                <w:noProof/>
                <w:webHidden/>
              </w:rPr>
              <w:fldChar w:fldCharType="end"/>
            </w:r>
          </w:hyperlink>
        </w:p>
        <w:p w14:paraId="2C1B1CD7" w14:textId="71F393FC" w:rsidR="00696F71" w:rsidRDefault="00762A8B">
          <w:pPr>
            <w:pStyle w:val="Spistreci2"/>
            <w:rPr>
              <w:noProof/>
              <w:szCs w:val="22"/>
              <w:lang w:eastAsia="pl-PL"/>
            </w:rPr>
          </w:pPr>
          <w:hyperlink w:anchor="_Toc164069042" w:history="1">
            <w:r w:rsidR="00696F71" w:rsidRPr="001D36B2">
              <w:rPr>
                <w:rStyle w:val="Hipercze"/>
                <w:noProof/>
              </w:rPr>
              <w:t>1.</w:t>
            </w:r>
            <w:r w:rsidR="00696F71">
              <w:rPr>
                <w:noProof/>
                <w:szCs w:val="22"/>
                <w:lang w:eastAsia="pl-PL"/>
              </w:rPr>
              <w:tab/>
            </w:r>
            <w:r w:rsidR="00696F71" w:rsidRPr="001D36B2">
              <w:rPr>
                <w:rStyle w:val="Hipercze"/>
                <w:noProof/>
              </w:rPr>
              <w:t>System wskaźników</w:t>
            </w:r>
            <w:r w:rsidR="00696F71">
              <w:rPr>
                <w:noProof/>
                <w:webHidden/>
              </w:rPr>
              <w:tab/>
            </w:r>
            <w:r w:rsidR="00696F71">
              <w:rPr>
                <w:noProof/>
                <w:webHidden/>
              </w:rPr>
              <w:fldChar w:fldCharType="begin"/>
            </w:r>
            <w:r w:rsidR="00696F71">
              <w:rPr>
                <w:noProof/>
                <w:webHidden/>
              </w:rPr>
              <w:instrText xml:space="preserve"> PAGEREF _Toc164069042 \h </w:instrText>
            </w:r>
            <w:r w:rsidR="00696F71">
              <w:rPr>
                <w:noProof/>
                <w:webHidden/>
              </w:rPr>
            </w:r>
            <w:r w:rsidR="00696F71">
              <w:rPr>
                <w:noProof/>
                <w:webHidden/>
              </w:rPr>
              <w:fldChar w:fldCharType="separate"/>
            </w:r>
            <w:r w:rsidR="00A64AB5">
              <w:rPr>
                <w:noProof/>
                <w:webHidden/>
              </w:rPr>
              <w:t>3</w:t>
            </w:r>
            <w:r w:rsidR="00696F71">
              <w:rPr>
                <w:noProof/>
                <w:webHidden/>
              </w:rPr>
              <w:fldChar w:fldCharType="end"/>
            </w:r>
          </w:hyperlink>
        </w:p>
        <w:p w14:paraId="272E24B2" w14:textId="1D543044" w:rsidR="00696F71" w:rsidRDefault="00762A8B">
          <w:pPr>
            <w:pStyle w:val="Spistreci3"/>
            <w:rPr>
              <w:noProof/>
              <w:szCs w:val="22"/>
              <w:lang w:eastAsia="pl-PL"/>
            </w:rPr>
          </w:pPr>
          <w:hyperlink w:anchor="_Toc164069043" w:history="1">
            <w:r w:rsidR="00696F71" w:rsidRPr="001D36B2">
              <w:rPr>
                <w:rStyle w:val="Hipercze"/>
                <w:noProof/>
              </w:rPr>
              <w:t>1.1.</w:t>
            </w:r>
            <w:r w:rsidR="00696F71">
              <w:rPr>
                <w:noProof/>
                <w:szCs w:val="22"/>
                <w:lang w:eastAsia="pl-PL"/>
              </w:rPr>
              <w:tab/>
            </w:r>
            <w:r w:rsidR="00696F71" w:rsidRPr="001D36B2">
              <w:rPr>
                <w:rStyle w:val="Hipercze"/>
                <w:noProof/>
              </w:rPr>
              <w:t>Struktura wskaźników</w:t>
            </w:r>
            <w:r w:rsidR="00696F71">
              <w:rPr>
                <w:noProof/>
                <w:webHidden/>
              </w:rPr>
              <w:tab/>
            </w:r>
            <w:r w:rsidR="00696F71">
              <w:rPr>
                <w:noProof/>
                <w:webHidden/>
              </w:rPr>
              <w:fldChar w:fldCharType="begin"/>
            </w:r>
            <w:r w:rsidR="00696F71">
              <w:rPr>
                <w:noProof/>
                <w:webHidden/>
              </w:rPr>
              <w:instrText xml:space="preserve"> PAGEREF _Toc164069043 \h </w:instrText>
            </w:r>
            <w:r w:rsidR="00696F71">
              <w:rPr>
                <w:noProof/>
                <w:webHidden/>
              </w:rPr>
            </w:r>
            <w:r w:rsidR="00696F71">
              <w:rPr>
                <w:noProof/>
                <w:webHidden/>
              </w:rPr>
              <w:fldChar w:fldCharType="separate"/>
            </w:r>
            <w:r w:rsidR="00A64AB5">
              <w:rPr>
                <w:noProof/>
                <w:webHidden/>
              </w:rPr>
              <w:t>3</w:t>
            </w:r>
            <w:r w:rsidR="00696F71">
              <w:rPr>
                <w:noProof/>
                <w:webHidden/>
              </w:rPr>
              <w:fldChar w:fldCharType="end"/>
            </w:r>
          </w:hyperlink>
        </w:p>
        <w:p w14:paraId="30428A2C" w14:textId="0BD3B6EE" w:rsidR="00696F71" w:rsidRDefault="00762A8B">
          <w:pPr>
            <w:pStyle w:val="Spistreci3"/>
            <w:rPr>
              <w:noProof/>
              <w:szCs w:val="22"/>
              <w:lang w:eastAsia="pl-PL"/>
            </w:rPr>
          </w:pPr>
          <w:hyperlink w:anchor="_Toc164069044" w:history="1">
            <w:r w:rsidR="00696F71" w:rsidRPr="001D36B2">
              <w:rPr>
                <w:rStyle w:val="Hipercze"/>
                <w:noProof/>
              </w:rPr>
              <w:t>1.2.</w:t>
            </w:r>
            <w:r w:rsidR="00696F71">
              <w:rPr>
                <w:noProof/>
                <w:szCs w:val="22"/>
                <w:lang w:eastAsia="pl-PL"/>
              </w:rPr>
              <w:tab/>
            </w:r>
            <w:r w:rsidR="00696F71" w:rsidRPr="001D36B2">
              <w:rPr>
                <w:rStyle w:val="Hipercze"/>
                <w:noProof/>
              </w:rPr>
              <w:t>Monitorowanie postępu rzeczowego</w:t>
            </w:r>
            <w:r w:rsidR="00696F71">
              <w:rPr>
                <w:noProof/>
                <w:webHidden/>
              </w:rPr>
              <w:tab/>
            </w:r>
            <w:r w:rsidR="00696F71">
              <w:rPr>
                <w:noProof/>
                <w:webHidden/>
              </w:rPr>
              <w:fldChar w:fldCharType="begin"/>
            </w:r>
            <w:r w:rsidR="00696F71">
              <w:rPr>
                <w:noProof/>
                <w:webHidden/>
              </w:rPr>
              <w:instrText xml:space="preserve"> PAGEREF _Toc164069044 \h </w:instrText>
            </w:r>
            <w:r w:rsidR="00696F71">
              <w:rPr>
                <w:noProof/>
                <w:webHidden/>
              </w:rPr>
            </w:r>
            <w:r w:rsidR="00696F71">
              <w:rPr>
                <w:noProof/>
                <w:webHidden/>
              </w:rPr>
              <w:fldChar w:fldCharType="separate"/>
            </w:r>
            <w:r w:rsidR="00A64AB5">
              <w:rPr>
                <w:noProof/>
                <w:webHidden/>
              </w:rPr>
              <w:t>3</w:t>
            </w:r>
            <w:r w:rsidR="00696F71">
              <w:rPr>
                <w:noProof/>
                <w:webHidden/>
              </w:rPr>
              <w:fldChar w:fldCharType="end"/>
            </w:r>
          </w:hyperlink>
        </w:p>
        <w:p w14:paraId="03BB74BB" w14:textId="0C3A42F6" w:rsidR="00696F71" w:rsidRDefault="00762A8B">
          <w:pPr>
            <w:pStyle w:val="Spistreci2"/>
            <w:rPr>
              <w:noProof/>
              <w:szCs w:val="22"/>
              <w:lang w:eastAsia="pl-PL"/>
            </w:rPr>
          </w:pPr>
          <w:hyperlink w:anchor="_Toc164069045" w:history="1">
            <w:r w:rsidR="00696F71" w:rsidRPr="001D36B2">
              <w:rPr>
                <w:rStyle w:val="Hipercze"/>
                <w:noProof/>
              </w:rPr>
              <w:t>2.</w:t>
            </w:r>
            <w:r w:rsidR="00696F71">
              <w:rPr>
                <w:noProof/>
                <w:szCs w:val="22"/>
                <w:lang w:eastAsia="pl-PL"/>
              </w:rPr>
              <w:tab/>
            </w:r>
            <w:r w:rsidR="00696F71" w:rsidRPr="001D36B2">
              <w:rPr>
                <w:rStyle w:val="Hipercze"/>
                <w:noProof/>
              </w:rPr>
              <w:t>Typologia wskaźników</w:t>
            </w:r>
            <w:r w:rsidR="00696F71">
              <w:rPr>
                <w:noProof/>
                <w:webHidden/>
              </w:rPr>
              <w:tab/>
            </w:r>
            <w:r w:rsidR="00696F71">
              <w:rPr>
                <w:noProof/>
                <w:webHidden/>
              </w:rPr>
              <w:fldChar w:fldCharType="begin"/>
            </w:r>
            <w:r w:rsidR="00696F71">
              <w:rPr>
                <w:noProof/>
                <w:webHidden/>
              </w:rPr>
              <w:instrText xml:space="preserve"> PAGEREF _Toc164069045 \h </w:instrText>
            </w:r>
            <w:r w:rsidR="00696F71">
              <w:rPr>
                <w:noProof/>
                <w:webHidden/>
              </w:rPr>
            </w:r>
            <w:r w:rsidR="00696F71">
              <w:rPr>
                <w:noProof/>
                <w:webHidden/>
              </w:rPr>
              <w:fldChar w:fldCharType="separate"/>
            </w:r>
            <w:r w:rsidR="00A64AB5">
              <w:rPr>
                <w:noProof/>
                <w:webHidden/>
              </w:rPr>
              <w:t>4</w:t>
            </w:r>
            <w:r w:rsidR="00696F71">
              <w:rPr>
                <w:noProof/>
                <w:webHidden/>
              </w:rPr>
              <w:fldChar w:fldCharType="end"/>
            </w:r>
          </w:hyperlink>
        </w:p>
        <w:p w14:paraId="4979ECFF" w14:textId="1F8034A2" w:rsidR="00696F71" w:rsidRDefault="00762A8B">
          <w:pPr>
            <w:pStyle w:val="Spistreci2"/>
            <w:rPr>
              <w:noProof/>
              <w:szCs w:val="22"/>
              <w:lang w:eastAsia="pl-PL"/>
            </w:rPr>
          </w:pPr>
          <w:hyperlink w:anchor="_Toc164069046" w:history="1">
            <w:r w:rsidR="00696F71" w:rsidRPr="001D36B2">
              <w:rPr>
                <w:rStyle w:val="Hipercze"/>
                <w:noProof/>
              </w:rPr>
              <w:t>3.</w:t>
            </w:r>
            <w:r w:rsidR="00696F71">
              <w:rPr>
                <w:noProof/>
                <w:szCs w:val="22"/>
                <w:lang w:eastAsia="pl-PL"/>
              </w:rPr>
              <w:tab/>
            </w:r>
            <w:r w:rsidR="00696F71" w:rsidRPr="001D36B2">
              <w:rPr>
                <w:rStyle w:val="Hipercze"/>
                <w:noProof/>
              </w:rPr>
              <w:t>Szczegółowe zasady dotyczące monitorowania wskaźników</w:t>
            </w:r>
            <w:r w:rsidR="00696F71">
              <w:rPr>
                <w:noProof/>
                <w:webHidden/>
              </w:rPr>
              <w:tab/>
            </w:r>
            <w:r w:rsidR="00696F71">
              <w:rPr>
                <w:noProof/>
                <w:webHidden/>
              </w:rPr>
              <w:fldChar w:fldCharType="begin"/>
            </w:r>
            <w:r w:rsidR="00696F71">
              <w:rPr>
                <w:noProof/>
                <w:webHidden/>
              </w:rPr>
              <w:instrText xml:space="preserve"> PAGEREF _Toc164069046 \h </w:instrText>
            </w:r>
            <w:r w:rsidR="00696F71">
              <w:rPr>
                <w:noProof/>
                <w:webHidden/>
              </w:rPr>
            </w:r>
            <w:r w:rsidR="00696F71">
              <w:rPr>
                <w:noProof/>
                <w:webHidden/>
              </w:rPr>
              <w:fldChar w:fldCharType="separate"/>
            </w:r>
            <w:r w:rsidR="00A64AB5">
              <w:rPr>
                <w:noProof/>
                <w:webHidden/>
              </w:rPr>
              <w:t>5</w:t>
            </w:r>
            <w:r w:rsidR="00696F71">
              <w:rPr>
                <w:noProof/>
                <w:webHidden/>
              </w:rPr>
              <w:fldChar w:fldCharType="end"/>
            </w:r>
          </w:hyperlink>
        </w:p>
        <w:p w14:paraId="6585BBEA" w14:textId="33D31894" w:rsidR="00696F71" w:rsidRDefault="00762A8B">
          <w:pPr>
            <w:pStyle w:val="Spistreci3"/>
            <w:rPr>
              <w:noProof/>
              <w:szCs w:val="22"/>
              <w:lang w:eastAsia="pl-PL"/>
            </w:rPr>
          </w:pPr>
          <w:hyperlink w:anchor="_Toc164069047" w:history="1">
            <w:r w:rsidR="00696F71" w:rsidRPr="001D36B2">
              <w:rPr>
                <w:rStyle w:val="Hipercze"/>
                <w:noProof/>
              </w:rPr>
              <w:t>3.1.</w:t>
            </w:r>
            <w:r w:rsidR="00696F71">
              <w:rPr>
                <w:noProof/>
                <w:szCs w:val="22"/>
                <w:lang w:eastAsia="pl-PL"/>
              </w:rPr>
              <w:tab/>
            </w:r>
            <w:r w:rsidR="00696F71" w:rsidRPr="001D36B2">
              <w:rPr>
                <w:rStyle w:val="Hipercze"/>
                <w:noProof/>
              </w:rPr>
              <w:t>Definicja uczestnika i podmiotu objętego wsparciem</w:t>
            </w:r>
            <w:r w:rsidR="00696F71">
              <w:rPr>
                <w:noProof/>
                <w:webHidden/>
              </w:rPr>
              <w:tab/>
            </w:r>
            <w:r w:rsidR="00696F71">
              <w:rPr>
                <w:noProof/>
                <w:webHidden/>
              </w:rPr>
              <w:fldChar w:fldCharType="begin"/>
            </w:r>
            <w:r w:rsidR="00696F71">
              <w:rPr>
                <w:noProof/>
                <w:webHidden/>
              </w:rPr>
              <w:instrText xml:space="preserve"> PAGEREF _Toc164069047 \h </w:instrText>
            </w:r>
            <w:r w:rsidR="00696F71">
              <w:rPr>
                <w:noProof/>
                <w:webHidden/>
              </w:rPr>
            </w:r>
            <w:r w:rsidR="00696F71">
              <w:rPr>
                <w:noProof/>
                <w:webHidden/>
              </w:rPr>
              <w:fldChar w:fldCharType="separate"/>
            </w:r>
            <w:r w:rsidR="00A64AB5">
              <w:rPr>
                <w:noProof/>
                <w:webHidden/>
              </w:rPr>
              <w:t>5</w:t>
            </w:r>
            <w:r w:rsidR="00696F71">
              <w:rPr>
                <w:noProof/>
                <w:webHidden/>
              </w:rPr>
              <w:fldChar w:fldCharType="end"/>
            </w:r>
          </w:hyperlink>
        </w:p>
        <w:p w14:paraId="5686F292" w14:textId="02430633" w:rsidR="00696F71" w:rsidRDefault="00762A8B">
          <w:pPr>
            <w:pStyle w:val="Spistreci3"/>
            <w:rPr>
              <w:noProof/>
              <w:szCs w:val="22"/>
              <w:lang w:eastAsia="pl-PL"/>
            </w:rPr>
          </w:pPr>
          <w:hyperlink w:anchor="_Toc164069048" w:history="1">
            <w:r w:rsidR="00696F71" w:rsidRPr="001D36B2">
              <w:rPr>
                <w:rStyle w:val="Hipercze"/>
                <w:noProof/>
              </w:rPr>
              <w:t>3.2.</w:t>
            </w:r>
            <w:r w:rsidR="00696F71">
              <w:rPr>
                <w:noProof/>
                <w:szCs w:val="22"/>
                <w:lang w:eastAsia="pl-PL"/>
              </w:rPr>
              <w:tab/>
            </w:r>
            <w:r w:rsidR="00696F71" w:rsidRPr="001D36B2">
              <w:rPr>
                <w:rStyle w:val="Hipercze"/>
                <w:noProof/>
              </w:rPr>
              <w:t>Zasady dotyczące doboru wskaźników w projekcie</w:t>
            </w:r>
            <w:r w:rsidR="00696F71">
              <w:rPr>
                <w:noProof/>
                <w:webHidden/>
              </w:rPr>
              <w:tab/>
            </w:r>
            <w:r w:rsidR="00696F71">
              <w:rPr>
                <w:noProof/>
                <w:webHidden/>
              </w:rPr>
              <w:fldChar w:fldCharType="begin"/>
            </w:r>
            <w:r w:rsidR="00696F71">
              <w:rPr>
                <w:noProof/>
                <w:webHidden/>
              </w:rPr>
              <w:instrText xml:space="preserve"> PAGEREF _Toc164069048 \h </w:instrText>
            </w:r>
            <w:r w:rsidR="00696F71">
              <w:rPr>
                <w:noProof/>
                <w:webHidden/>
              </w:rPr>
            </w:r>
            <w:r w:rsidR="00696F71">
              <w:rPr>
                <w:noProof/>
                <w:webHidden/>
              </w:rPr>
              <w:fldChar w:fldCharType="separate"/>
            </w:r>
            <w:r w:rsidR="00A64AB5">
              <w:rPr>
                <w:noProof/>
                <w:webHidden/>
              </w:rPr>
              <w:t>5</w:t>
            </w:r>
            <w:r w:rsidR="00696F71">
              <w:rPr>
                <w:noProof/>
                <w:webHidden/>
              </w:rPr>
              <w:fldChar w:fldCharType="end"/>
            </w:r>
          </w:hyperlink>
        </w:p>
        <w:p w14:paraId="1214C0D4" w14:textId="64B042BC" w:rsidR="00696F71" w:rsidRDefault="00762A8B">
          <w:pPr>
            <w:pStyle w:val="Spistreci3"/>
            <w:rPr>
              <w:noProof/>
              <w:szCs w:val="22"/>
              <w:lang w:eastAsia="pl-PL"/>
            </w:rPr>
          </w:pPr>
          <w:hyperlink w:anchor="_Toc164069049" w:history="1">
            <w:r w:rsidR="00696F71" w:rsidRPr="001D36B2">
              <w:rPr>
                <w:rStyle w:val="Hipercze"/>
                <w:noProof/>
              </w:rPr>
              <w:t>3.3.</w:t>
            </w:r>
            <w:r w:rsidR="00696F71">
              <w:rPr>
                <w:noProof/>
                <w:szCs w:val="22"/>
                <w:lang w:eastAsia="pl-PL"/>
              </w:rPr>
              <w:tab/>
            </w:r>
            <w:r w:rsidR="00696F71" w:rsidRPr="001D36B2">
              <w:rPr>
                <w:rStyle w:val="Hipercze"/>
                <w:noProof/>
              </w:rPr>
              <w:t>Zasady dotyczące pomiaru wskaźników w projekcie</w:t>
            </w:r>
            <w:r w:rsidR="00696F71">
              <w:rPr>
                <w:noProof/>
                <w:webHidden/>
              </w:rPr>
              <w:tab/>
            </w:r>
            <w:r w:rsidR="00696F71">
              <w:rPr>
                <w:noProof/>
                <w:webHidden/>
              </w:rPr>
              <w:fldChar w:fldCharType="begin"/>
            </w:r>
            <w:r w:rsidR="00696F71">
              <w:rPr>
                <w:noProof/>
                <w:webHidden/>
              </w:rPr>
              <w:instrText xml:space="preserve"> PAGEREF _Toc164069049 \h </w:instrText>
            </w:r>
            <w:r w:rsidR="00696F71">
              <w:rPr>
                <w:noProof/>
                <w:webHidden/>
              </w:rPr>
            </w:r>
            <w:r w:rsidR="00696F71">
              <w:rPr>
                <w:noProof/>
                <w:webHidden/>
              </w:rPr>
              <w:fldChar w:fldCharType="separate"/>
            </w:r>
            <w:r w:rsidR="00A64AB5">
              <w:rPr>
                <w:noProof/>
                <w:webHidden/>
              </w:rPr>
              <w:t>6</w:t>
            </w:r>
            <w:r w:rsidR="00696F71">
              <w:rPr>
                <w:noProof/>
                <w:webHidden/>
              </w:rPr>
              <w:fldChar w:fldCharType="end"/>
            </w:r>
          </w:hyperlink>
        </w:p>
        <w:p w14:paraId="41364D2C" w14:textId="38483CF2" w:rsidR="00696F71" w:rsidRDefault="00762A8B">
          <w:pPr>
            <w:pStyle w:val="Spistreci3"/>
            <w:rPr>
              <w:noProof/>
              <w:szCs w:val="22"/>
              <w:lang w:eastAsia="pl-PL"/>
            </w:rPr>
          </w:pPr>
          <w:hyperlink w:anchor="_Toc164069050" w:history="1">
            <w:r w:rsidR="00696F71" w:rsidRPr="001D36B2">
              <w:rPr>
                <w:rStyle w:val="Hipercze"/>
                <w:noProof/>
              </w:rPr>
              <w:t>3.4.</w:t>
            </w:r>
            <w:r w:rsidR="00696F71">
              <w:rPr>
                <w:noProof/>
                <w:szCs w:val="22"/>
                <w:lang w:eastAsia="pl-PL"/>
              </w:rPr>
              <w:tab/>
            </w:r>
            <w:r w:rsidR="00696F71" w:rsidRPr="001D36B2">
              <w:rPr>
                <w:rStyle w:val="Hipercze"/>
                <w:noProof/>
              </w:rPr>
              <w:t>Moment pomiaru wskaźników</w:t>
            </w:r>
            <w:r w:rsidR="00696F71">
              <w:rPr>
                <w:noProof/>
                <w:webHidden/>
              </w:rPr>
              <w:tab/>
            </w:r>
            <w:r w:rsidR="00696F71">
              <w:rPr>
                <w:noProof/>
                <w:webHidden/>
              </w:rPr>
              <w:fldChar w:fldCharType="begin"/>
            </w:r>
            <w:r w:rsidR="00696F71">
              <w:rPr>
                <w:noProof/>
                <w:webHidden/>
              </w:rPr>
              <w:instrText xml:space="preserve"> PAGEREF _Toc164069050 \h </w:instrText>
            </w:r>
            <w:r w:rsidR="00696F71">
              <w:rPr>
                <w:noProof/>
                <w:webHidden/>
              </w:rPr>
            </w:r>
            <w:r w:rsidR="00696F71">
              <w:rPr>
                <w:noProof/>
                <w:webHidden/>
              </w:rPr>
              <w:fldChar w:fldCharType="separate"/>
            </w:r>
            <w:r w:rsidR="00A64AB5">
              <w:rPr>
                <w:noProof/>
                <w:webHidden/>
              </w:rPr>
              <w:t>8</w:t>
            </w:r>
            <w:r w:rsidR="00696F71">
              <w:rPr>
                <w:noProof/>
                <w:webHidden/>
              </w:rPr>
              <w:fldChar w:fldCharType="end"/>
            </w:r>
          </w:hyperlink>
        </w:p>
        <w:p w14:paraId="5B3B67C0" w14:textId="35359D77" w:rsidR="00696F71" w:rsidRDefault="00762A8B">
          <w:pPr>
            <w:pStyle w:val="Spistreci2"/>
            <w:rPr>
              <w:noProof/>
              <w:szCs w:val="22"/>
              <w:lang w:eastAsia="pl-PL"/>
            </w:rPr>
          </w:pPr>
          <w:hyperlink w:anchor="_Toc164069051" w:history="1">
            <w:r w:rsidR="00696F71" w:rsidRPr="001D36B2">
              <w:rPr>
                <w:rStyle w:val="Hipercze"/>
                <w:noProof/>
              </w:rPr>
              <w:t>4.</w:t>
            </w:r>
            <w:r w:rsidR="00696F71">
              <w:rPr>
                <w:noProof/>
                <w:szCs w:val="22"/>
                <w:lang w:eastAsia="pl-PL"/>
              </w:rPr>
              <w:tab/>
            </w:r>
            <w:r w:rsidR="00696F71" w:rsidRPr="001D36B2">
              <w:rPr>
                <w:rStyle w:val="Hipercze"/>
                <w:noProof/>
              </w:rPr>
              <w:t>Dane uczestników i podmiotów biorących udział w projektach</w:t>
            </w:r>
            <w:r w:rsidR="00696F71">
              <w:rPr>
                <w:noProof/>
                <w:webHidden/>
              </w:rPr>
              <w:tab/>
            </w:r>
            <w:r w:rsidR="00696F71">
              <w:rPr>
                <w:noProof/>
                <w:webHidden/>
              </w:rPr>
              <w:fldChar w:fldCharType="begin"/>
            </w:r>
            <w:r w:rsidR="00696F71">
              <w:rPr>
                <w:noProof/>
                <w:webHidden/>
              </w:rPr>
              <w:instrText xml:space="preserve"> PAGEREF _Toc164069051 \h </w:instrText>
            </w:r>
            <w:r w:rsidR="00696F71">
              <w:rPr>
                <w:noProof/>
                <w:webHidden/>
              </w:rPr>
            </w:r>
            <w:r w:rsidR="00696F71">
              <w:rPr>
                <w:noProof/>
                <w:webHidden/>
              </w:rPr>
              <w:fldChar w:fldCharType="separate"/>
            </w:r>
            <w:r w:rsidR="00A64AB5">
              <w:rPr>
                <w:noProof/>
                <w:webHidden/>
              </w:rPr>
              <w:t>9</w:t>
            </w:r>
            <w:r w:rsidR="00696F71">
              <w:rPr>
                <w:noProof/>
                <w:webHidden/>
              </w:rPr>
              <w:fldChar w:fldCharType="end"/>
            </w:r>
          </w:hyperlink>
        </w:p>
        <w:p w14:paraId="110817A1" w14:textId="4D680492" w:rsidR="00696F71" w:rsidRDefault="00762A8B">
          <w:pPr>
            <w:pStyle w:val="Spistreci3"/>
            <w:rPr>
              <w:noProof/>
              <w:szCs w:val="22"/>
              <w:lang w:eastAsia="pl-PL"/>
            </w:rPr>
          </w:pPr>
          <w:hyperlink w:anchor="_Toc164069052" w:history="1">
            <w:r w:rsidR="00696F71" w:rsidRPr="001D36B2">
              <w:rPr>
                <w:rStyle w:val="Hipercze"/>
                <w:noProof/>
              </w:rPr>
              <w:t>4.1.</w:t>
            </w:r>
            <w:r w:rsidR="00696F71">
              <w:rPr>
                <w:noProof/>
                <w:szCs w:val="22"/>
                <w:lang w:eastAsia="pl-PL"/>
              </w:rPr>
              <w:tab/>
            </w:r>
            <w:r w:rsidR="00696F71" w:rsidRPr="001D36B2">
              <w:rPr>
                <w:rStyle w:val="Hipercze"/>
                <w:noProof/>
              </w:rPr>
              <w:t>Jakość danych</w:t>
            </w:r>
            <w:r w:rsidR="00696F71">
              <w:rPr>
                <w:noProof/>
                <w:webHidden/>
              </w:rPr>
              <w:tab/>
            </w:r>
            <w:r w:rsidR="00696F71">
              <w:rPr>
                <w:noProof/>
                <w:webHidden/>
              </w:rPr>
              <w:fldChar w:fldCharType="begin"/>
            </w:r>
            <w:r w:rsidR="00696F71">
              <w:rPr>
                <w:noProof/>
                <w:webHidden/>
              </w:rPr>
              <w:instrText xml:space="preserve"> PAGEREF _Toc164069052 \h </w:instrText>
            </w:r>
            <w:r w:rsidR="00696F71">
              <w:rPr>
                <w:noProof/>
                <w:webHidden/>
              </w:rPr>
            </w:r>
            <w:r w:rsidR="00696F71">
              <w:rPr>
                <w:noProof/>
                <w:webHidden/>
              </w:rPr>
              <w:fldChar w:fldCharType="separate"/>
            </w:r>
            <w:r w:rsidR="00A64AB5">
              <w:rPr>
                <w:noProof/>
                <w:webHidden/>
              </w:rPr>
              <w:t>9</w:t>
            </w:r>
            <w:r w:rsidR="00696F71">
              <w:rPr>
                <w:noProof/>
                <w:webHidden/>
              </w:rPr>
              <w:fldChar w:fldCharType="end"/>
            </w:r>
          </w:hyperlink>
        </w:p>
        <w:p w14:paraId="7E7F3E05" w14:textId="09691998" w:rsidR="00696F71" w:rsidRDefault="00762A8B">
          <w:pPr>
            <w:pStyle w:val="Spistreci3"/>
            <w:rPr>
              <w:noProof/>
              <w:szCs w:val="22"/>
              <w:lang w:eastAsia="pl-PL"/>
            </w:rPr>
          </w:pPr>
          <w:hyperlink w:anchor="_Toc164069053" w:history="1">
            <w:r w:rsidR="00696F71" w:rsidRPr="001D36B2">
              <w:rPr>
                <w:rStyle w:val="Hipercze"/>
                <w:noProof/>
              </w:rPr>
              <w:t>4.2.</w:t>
            </w:r>
            <w:r w:rsidR="00696F71">
              <w:rPr>
                <w:noProof/>
                <w:szCs w:val="22"/>
                <w:lang w:eastAsia="pl-PL"/>
              </w:rPr>
              <w:tab/>
            </w:r>
            <w:r w:rsidR="00696F71" w:rsidRPr="001D36B2">
              <w:rPr>
                <w:rStyle w:val="Hipercze"/>
                <w:noProof/>
              </w:rPr>
              <w:t>Przetwarzanie i agregowanie danych w CST2021</w:t>
            </w:r>
            <w:r w:rsidR="00696F71">
              <w:rPr>
                <w:noProof/>
                <w:webHidden/>
              </w:rPr>
              <w:tab/>
            </w:r>
            <w:r w:rsidR="00696F71">
              <w:rPr>
                <w:noProof/>
                <w:webHidden/>
              </w:rPr>
              <w:fldChar w:fldCharType="begin"/>
            </w:r>
            <w:r w:rsidR="00696F71">
              <w:rPr>
                <w:noProof/>
                <w:webHidden/>
              </w:rPr>
              <w:instrText xml:space="preserve"> PAGEREF _Toc164069053 \h </w:instrText>
            </w:r>
            <w:r w:rsidR="00696F71">
              <w:rPr>
                <w:noProof/>
                <w:webHidden/>
              </w:rPr>
            </w:r>
            <w:r w:rsidR="00696F71">
              <w:rPr>
                <w:noProof/>
                <w:webHidden/>
              </w:rPr>
              <w:fldChar w:fldCharType="separate"/>
            </w:r>
            <w:r w:rsidR="00A64AB5">
              <w:rPr>
                <w:noProof/>
                <w:webHidden/>
              </w:rPr>
              <w:t>9</w:t>
            </w:r>
            <w:r w:rsidR="00696F71">
              <w:rPr>
                <w:noProof/>
                <w:webHidden/>
              </w:rPr>
              <w:fldChar w:fldCharType="end"/>
            </w:r>
          </w:hyperlink>
        </w:p>
        <w:p w14:paraId="727B5168" w14:textId="0F0B9539" w:rsidR="00696F71" w:rsidRDefault="00762A8B">
          <w:pPr>
            <w:pStyle w:val="Spistreci3"/>
            <w:rPr>
              <w:noProof/>
              <w:szCs w:val="22"/>
              <w:lang w:eastAsia="pl-PL"/>
            </w:rPr>
          </w:pPr>
          <w:hyperlink w:anchor="_Toc164069054" w:history="1">
            <w:r w:rsidR="00696F71" w:rsidRPr="001D36B2">
              <w:rPr>
                <w:rStyle w:val="Hipercze"/>
                <w:noProof/>
              </w:rPr>
              <w:t>4.3.</w:t>
            </w:r>
            <w:r w:rsidR="00696F71">
              <w:rPr>
                <w:noProof/>
                <w:szCs w:val="22"/>
                <w:lang w:eastAsia="pl-PL"/>
              </w:rPr>
              <w:tab/>
            </w:r>
            <w:r w:rsidR="00696F71" w:rsidRPr="001D36B2">
              <w:rPr>
                <w:rStyle w:val="Hipercze"/>
                <w:noProof/>
              </w:rPr>
              <w:t>Zakres danych dotyczących uczestników projektów</w:t>
            </w:r>
            <w:r w:rsidR="00696F71">
              <w:rPr>
                <w:noProof/>
                <w:webHidden/>
              </w:rPr>
              <w:tab/>
            </w:r>
            <w:r w:rsidR="00696F71">
              <w:rPr>
                <w:noProof/>
                <w:webHidden/>
              </w:rPr>
              <w:fldChar w:fldCharType="begin"/>
            </w:r>
            <w:r w:rsidR="00696F71">
              <w:rPr>
                <w:noProof/>
                <w:webHidden/>
              </w:rPr>
              <w:instrText xml:space="preserve"> PAGEREF _Toc164069054 \h </w:instrText>
            </w:r>
            <w:r w:rsidR="00696F71">
              <w:rPr>
                <w:noProof/>
                <w:webHidden/>
              </w:rPr>
            </w:r>
            <w:r w:rsidR="00696F71">
              <w:rPr>
                <w:noProof/>
                <w:webHidden/>
              </w:rPr>
              <w:fldChar w:fldCharType="separate"/>
            </w:r>
            <w:r w:rsidR="00A64AB5">
              <w:rPr>
                <w:noProof/>
                <w:webHidden/>
              </w:rPr>
              <w:t>11</w:t>
            </w:r>
            <w:r w:rsidR="00696F71">
              <w:rPr>
                <w:noProof/>
                <w:webHidden/>
              </w:rPr>
              <w:fldChar w:fldCharType="end"/>
            </w:r>
          </w:hyperlink>
        </w:p>
        <w:p w14:paraId="7FEEEBE7" w14:textId="68C2489D" w:rsidR="00696F71" w:rsidRDefault="00762A8B">
          <w:pPr>
            <w:pStyle w:val="Spistreci2"/>
            <w:rPr>
              <w:noProof/>
              <w:szCs w:val="22"/>
              <w:lang w:eastAsia="pl-PL"/>
            </w:rPr>
          </w:pPr>
          <w:hyperlink w:anchor="_Toc164069055" w:history="1">
            <w:r w:rsidR="00696F71" w:rsidRPr="001D36B2">
              <w:rPr>
                <w:rStyle w:val="Hipercze"/>
                <w:noProof/>
              </w:rPr>
              <w:t>5.</w:t>
            </w:r>
            <w:r w:rsidR="00696F71">
              <w:rPr>
                <w:noProof/>
                <w:szCs w:val="22"/>
                <w:lang w:eastAsia="pl-PL"/>
              </w:rPr>
              <w:tab/>
            </w:r>
            <w:r w:rsidR="00696F71" w:rsidRPr="001D36B2">
              <w:rPr>
                <w:rStyle w:val="Hipercze"/>
                <w:noProof/>
              </w:rPr>
              <w:t>Załączniki do zasad pomiaru wskaźników w projekcie dofinansowanym z Europejskiego Funduszu Społecznego Plus w ramach programu regionalnego Fundusze Europejskie dla Pomorza 2021-2027</w:t>
            </w:r>
            <w:r w:rsidR="00696F71">
              <w:rPr>
                <w:noProof/>
                <w:webHidden/>
              </w:rPr>
              <w:tab/>
            </w:r>
            <w:r w:rsidR="00696F71">
              <w:rPr>
                <w:noProof/>
                <w:webHidden/>
              </w:rPr>
              <w:fldChar w:fldCharType="begin"/>
            </w:r>
            <w:r w:rsidR="00696F71">
              <w:rPr>
                <w:noProof/>
                <w:webHidden/>
              </w:rPr>
              <w:instrText xml:space="preserve"> PAGEREF _Toc164069055 \h </w:instrText>
            </w:r>
            <w:r w:rsidR="00696F71">
              <w:rPr>
                <w:noProof/>
                <w:webHidden/>
              </w:rPr>
            </w:r>
            <w:r w:rsidR="00696F71">
              <w:rPr>
                <w:noProof/>
                <w:webHidden/>
              </w:rPr>
              <w:fldChar w:fldCharType="separate"/>
            </w:r>
            <w:r w:rsidR="00A64AB5">
              <w:rPr>
                <w:noProof/>
                <w:webHidden/>
              </w:rPr>
              <w:t>12</w:t>
            </w:r>
            <w:r w:rsidR="00696F71">
              <w:rPr>
                <w:noProof/>
                <w:webHidden/>
              </w:rPr>
              <w:fldChar w:fldCharType="end"/>
            </w:r>
          </w:hyperlink>
        </w:p>
        <w:p w14:paraId="0BDCF721" w14:textId="795057EC" w:rsidR="00696F71" w:rsidRDefault="00762A8B">
          <w:pPr>
            <w:pStyle w:val="Spistreci3"/>
            <w:rPr>
              <w:noProof/>
              <w:szCs w:val="22"/>
              <w:lang w:eastAsia="pl-PL"/>
            </w:rPr>
          </w:pPr>
          <w:hyperlink w:anchor="_Toc164069056" w:history="1">
            <w:r w:rsidR="00696F71" w:rsidRPr="001D36B2">
              <w:rPr>
                <w:rStyle w:val="Hipercze"/>
                <w:noProof/>
              </w:rPr>
              <w:t>5.1.</w:t>
            </w:r>
            <w:r w:rsidR="00696F71">
              <w:rPr>
                <w:noProof/>
                <w:szCs w:val="22"/>
                <w:lang w:eastAsia="pl-PL"/>
              </w:rPr>
              <w:tab/>
            </w:r>
            <w:r w:rsidR="00696F71" w:rsidRPr="001D36B2">
              <w:rPr>
                <w:rStyle w:val="Hipercze"/>
                <w:noProof/>
              </w:rPr>
              <w:t>Załącznik nr 1 – Wykaz wskaźników dla naboru wraz z definicjami</w:t>
            </w:r>
            <w:r w:rsidR="00696F71">
              <w:rPr>
                <w:noProof/>
                <w:webHidden/>
              </w:rPr>
              <w:tab/>
            </w:r>
            <w:r w:rsidR="00696F71">
              <w:rPr>
                <w:noProof/>
                <w:webHidden/>
              </w:rPr>
              <w:fldChar w:fldCharType="begin"/>
            </w:r>
            <w:r w:rsidR="00696F71">
              <w:rPr>
                <w:noProof/>
                <w:webHidden/>
              </w:rPr>
              <w:instrText xml:space="preserve"> PAGEREF _Toc164069056 \h </w:instrText>
            </w:r>
            <w:r w:rsidR="00696F71">
              <w:rPr>
                <w:noProof/>
                <w:webHidden/>
              </w:rPr>
            </w:r>
            <w:r w:rsidR="00696F71">
              <w:rPr>
                <w:noProof/>
                <w:webHidden/>
              </w:rPr>
              <w:fldChar w:fldCharType="separate"/>
            </w:r>
            <w:r w:rsidR="00A64AB5">
              <w:rPr>
                <w:noProof/>
                <w:webHidden/>
              </w:rPr>
              <w:t>12</w:t>
            </w:r>
            <w:r w:rsidR="00696F71">
              <w:rPr>
                <w:noProof/>
                <w:webHidden/>
              </w:rPr>
              <w:fldChar w:fldCharType="end"/>
            </w:r>
          </w:hyperlink>
        </w:p>
        <w:p w14:paraId="37016A5B" w14:textId="1F4556FF" w:rsidR="00696F71" w:rsidRDefault="00762A8B">
          <w:pPr>
            <w:pStyle w:val="Spistreci3"/>
            <w:rPr>
              <w:noProof/>
              <w:szCs w:val="22"/>
              <w:lang w:eastAsia="pl-PL"/>
            </w:rPr>
          </w:pPr>
          <w:hyperlink w:anchor="_Toc164069057" w:history="1">
            <w:r w:rsidR="00696F71" w:rsidRPr="001D36B2">
              <w:rPr>
                <w:rStyle w:val="Hipercze"/>
                <w:noProof/>
              </w:rPr>
              <w:t>5.2.</w:t>
            </w:r>
            <w:r w:rsidR="00696F71">
              <w:rPr>
                <w:noProof/>
                <w:szCs w:val="22"/>
                <w:lang w:eastAsia="pl-PL"/>
              </w:rPr>
              <w:tab/>
            </w:r>
            <w:r w:rsidR="00696F71" w:rsidRPr="001D36B2">
              <w:rPr>
                <w:rStyle w:val="Hipercze"/>
                <w:noProof/>
              </w:rPr>
              <w:t>Załącznik nr 2 – Zakres danych nt. uczestników projektów współfinansowanych z EFS+ oraz podmiotów obejmowanych wsparciem gromadzonych w CST2021</w:t>
            </w:r>
            <w:r w:rsidR="00696F71">
              <w:rPr>
                <w:noProof/>
                <w:webHidden/>
              </w:rPr>
              <w:tab/>
            </w:r>
            <w:r w:rsidR="00696F71">
              <w:rPr>
                <w:noProof/>
                <w:webHidden/>
              </w:rPr>
              <w:fldChar w:fldCharType="begin"/>
            </w:r>
            <w:r w:rsidR="00696F71">
              <w:rPr>
                <w:noProof/>
                <w:webHidden/>
              </w:rPr>
              <w:instrText xml:space="preserve"> PAGEREF _Toc164069057 \h </w:instrText>
            </w:r>
            <w:r w:rsidR="00696F71">
              <w:rPr>
                <w:noProof/>
                <w:webHidden/>
              </w:rPr>
            </w:r>
            <w:r w:rsidR="00696F71">
              <w:rPr>
                <w:noProof/>
                <w:webHidden/>
              </w:rPr>
              <w:fldChar w:fldCharType="separate"/>
            </w:r>
            <w:r w:rsidR="00A64AB5">
              <w:rPr>
                <w:noProof/>
                <w:webHidden/>
              </w:rPr>
              <w:t>21</w:t>
            </w:r>
            <w:r w:rsidR="00696F71">
              <w:rPr>
                <w:noProof/>
                <w:webHidden/>
              </w:rPr>
              <w:fldChar w:fldCharType="end"/>
            </w:r>
          </w:hyperlink>
        </w:p>
        <w:p w14:paraId="4C59F5D5" w14:textId="5865BCB0" w:rsidR="00696F71" w:rsidRDefault="00762A8B">
          <w:pPr>
            <w:pStyle w:val="Spistreci3"/>
            <w:rPr>
              <w:noProof/>
              <w:szCs w:val="22"/>
              <w:lang w:eastAsia="pl-PL"/>
            </w:rPr>
          </w:pPr>
          <w:hyperlink w:anchor="_Toc164069393" w:history="1">
            <w:r w:rsidR="00696F71" w:rsidRPr="001D36B2">
              <w:rPr>
                <w:rStyle w:val="Hipercze"/>
                <w:noProof/>
              </w:rPr>
              <w:t>5.3.</w:t>
            </w:r>
            <w:r w:rsidR="00696F71">
              <w:rPr>
                <w:noProof/>
                <w:szCs w:val="22"/>
                <w:lang w:eastAsia="pl-PL"/>
              </w:rPr>
              <w:tab/>
            </w:r>
            <w:r w:rsidR="00696F71" w:rsidRPr="001D36B2">
              <w:rPr>
                <w:rStyle w:val="Hipercze"/>
                <w:noProof/>
              </w:rPr>
              <w:t>Załącznik nr 3 – Przykładowy wzór oświadczenia uczestnika projektu nt. jego sytuacji po zakończeniu udziału w projekcie</w:t>
            </w:r>
            <w:r w:rsidR="00696F71">
              <w:rPr>
                <w:noProof/>
                <w:webHidden/>
              </w:rPr>
              <w:tab/>
            </w:r>
            <w:r w:rsidR="00696F71">
              <w:rPr>
                <w:noProof/>
                <w:webHidden/>
              </w:rPr>
              <w:fldChar w:fldCharType="begin"/>
            </w:r>
            <w:r w:rsidR="00696F71">
              <w:rPr>
                <w:noProof/>
                <w:webHidden/>
              </w:rPr>
              <w:instrText xml:space="preserve"> PAGEREF _Toc164069393 \h </w:instrText>
            </w:r>
            <w:r w:rsidR="00696F71">
              <w:rPr>
                <w:noProof/>
                <w:webHidden/>
              </w:rPr>
            </w:r>
            <w:r w:rsidR="00696F71">
              <w:rPr>
                <w:noProof/>
                <w:webHidden/>
              </w:rPr>
              <w:fldChar w:fldCharType="separate"/>
            </w:r>
            <w:r w:rsidR="00A64AB5">
              <w:rPr>
                <w:noProof/>
                <w:webHidden/>
              </w:rPr>
              <w:t>25</w:t>
            </w:r>
            <w:r w:rsidR="00696F71">
              <w:rPr>
                <w:noProof/>
                <w:webHidden/>
              </w:rPr>
              <w:fldChar w:fldCharType="end"/>
            </w:r>
          </w:hyperlink>
        </w:p>
        <w:p w14:paraId="262BF962" w14:textId="6E00242A" w:rsidR="001A7111" w:rsidRDefault="00F12019" w:rsidP="0041610C">
          <w:pPr>
            <w:pStyle w:val="Spistreci2"/>
            <w:ind w:left="426"/>
          </w:pPr>
          <w:r>
            <w:fldChar w:fldCharType="end"/>
          </w:r>
        </w:p>
        <w:p w14:paraId="07A400AB" w14:textId="019E04D4" w:rsidR="0084799B" w:rsidRPr="001A7111" w:rsidRDefault="00762A8B" w:rsidP="001A7111"/>
      </w:sdtContent>
    </w:sdt>
    <w:p w14:paraId="7FD315B7" w14:textId="2D1F2C4A" w:rsidR="009E1AB2" w:rsidRPr="005636C5" w:rsidRDefault="009E1AB2" w:rsidP="00C616D6">
      <w:pPr>
        <w:pStyle w:val="Nagwek2"/>
        <w:numPr>
          <w:ilvl w:val="0"/>
          <w:numId w:val="0"/>
        </w:numPr>
        <w:ind w:left="426" w:hanging="426"/>
      </w:pPr>
      <w:bookmarkStart w:id="4" w:name="_Toc164069040"/>
      <w:r w:rsidRPr="009E1AB2">
        <w:lastRenderedPageBreak/>
        <w:t>Podstawa prawna</w:t>
      </w:r>
      <w:bookmarkEnd w:id="4"/>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5" w:name="_Toc164069041"/>
      <w:r w:rsidRPr="008B7F89">
        <w:t>Wykaz skrótów</w:t>
      </w:r>
      <w:bookmarkEnd w:id="5"/>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6" w:name="_Toc413927262"/>
      <w:bookmarkStart w:id="7" w:name="_Toc413927754"/>
      <w:bookmarkStart w:id="8" w:name="_Toc413927785"/>
      <w:bookmarkStart w:id="9" w:name="_Toc413927894"/>
      <w:bookmarkStart w:id="10" w:name="_Toc413928279"/>
      <w:bookmarkStart w:id="11" w:name="_Toc413928322"/>
      <w:bookmarkStart w:id="12" w:name="_Toc413928370"/>
      <w:bookmarkStart w:id="13" w:name="_Toc413931299"/>
      <w:bookmarkStart w:id="14" w:name="_Toc413932892"/>
      <w:bookmarkStart w:id="15" w:name="_Toc413932967"/>
      <w:bookmarkStart w:id="16" w:name="_Toc413933139"/>
      <w:bookmarkStart w:id="17" w:name="_Toc422391007"/>
      <w:bookmarkStart w:id="18" w:name="_Toc53578005"/>
      <w:bookmarkStart w:id="19" w:name="_Toc164069042"/>
      <w:bookmarkEnd w:id="6"/>
      <w:bookmarkEnd w:id="7"/>
      <w:bookmarkEnd w:id="8"/>
      <w:bookmarkEnd w:id="9"/>
      <w:bookmarkEnd w:id="10"/>
      <w:bookmarkEnd w:id="11"/>
      <w:bookmarkEnd w:id="12"/>
      <w:bookmarkEnd w:id="13"/>
      <w:bookmarkEnd w:id="14"/>
      <w:bookmarkEnd w:id="15"/>
      <w:bookmarkEnd w:id="16"/>
      <w:r w:rsidRPr="00ED6037">
        <w:lastRenderedPageBreak/>
        <w:t>System wskaźnikó</w:t>
      </w:r>
      <w:bookmarkEnd w:id="17"/>
      <w:bookmarkEnd w:id="18"/>
      <w:r w:rsidR="00315968" w:rsidRPr="00ED6037">
        <w:t>w</w:t>
      </w:r>
      <w:bookmarkEnd w:id="19"/>
    </w:p>
    <w:p w14:paraId="2FDEB943" w14:textId="139BB272" w:rsidR="00315968" w:rsidRPr="005E175A" w:rsidRDefault="00F50D7C" w:rsidP="00A175ED">
      <w:pPr>
        <w:pStyle w:val="Nagwek3"/>
      </w:pPr>
      <w:bookmarkStart w:id="20" w:name="_Toc164069043"/>
      <w:r w:rsidRPr="005E175A">
        <w:t>Struktura wskaźników</w:t>
      </w:r>
      <w:bookmarkEnd w:id="20"/>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1" w:name="_Toc164069044"/>
      <w:r w:rsidRPr="00EE2AAD">
        <w:t xml:space="preserve">Monitorowanie postępu </w:t>
      </w:r>
      <w:r w:rsidRPr="006C50C1">
        <w:t>rzeczowego</w:t>
      </w:r>
      <w:bookmarkEnd w:id="21"/>
    </w:p>
    <w:p w14:paraId="6D441190" w14:textId="2B8E845A" w:rsidR="00A75F50" w:rsidRDefault="00A75F50" w:rsidP="00EC2781">
      <w:pPr>
        <w:pStyle w:val="Akapitzlist"/>
        <w:numPr>
          <w:ilvl w:val="0"/>
          <w:numId w:val="37"/>
        </w:numPr>
        <w:autoSpaceDE w:val="0"/>
        <w:autoSpaceDN w:val="0"/>
        <w:spacing w:after="240"/>
        <w:rPr>
          <w:sz w:val="20"/>
        </w:rPr>
      </w:pPr>
      <w:bookmarkStart w:id="22" w:name="_Hlk143162942"/>
      <w:r>
        <w:t>Za prawidłowy przebieg procesu monitorowania postępu rzeczowego w ramach projektu, w tym za dobór wskaźników i realizację założonych wartości, odpowiada Beneficjent.</w:t>
      </w:r>
    </w:p>
    <w:bookmarkEnd w:id="22"/>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3" w:name="_Toc164069045"/>
      <w:r w:rsidRPr="00083E30">
        <w:lastRenderedPageBreak/>
        <w:t>Typologia wskaźników</w:t>
      </w:r>
      <w:bookmarkEnd w:id="23"/>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4" w:name="_Toc164069046"/>
      <w:r w:rsidRPr="00B062BE">
        <w:lastRenderedPageBreak/>
        <w:t>Szczegółowe zasady dotyczące monitorowania</w:t>
      </w:r>
      <w:r w:rsidR="00B062BE">
        <w:t xml:space="preserve"> </w:t>
      </w:r>
      <w:r w:rsidRPr="00B062BE">
        <w:t>wskaźników</w:t>
      </w:r>
      <w:bookmarkEnd w:id="24"/>
    </w:p>
    <w:p w14:paraId="651607B8" w14:textId="229EE746" w:rsidR="00B062BE" w:rsidRPr="0031286D" w:rsidRDefault="00F50D7C" w:rsidP="000B0EC7">
      <w:pPr>
        <w:pStyle w:val="Nagwek3"/>
      </w:pPr>
      <w:bookmarkStart w:id="25" w:name="_Toc164069047"/>
      <w:r w:rsidRPr="0031286D">
        <w:t>Definicja uczestnika i podmiotu objętego wsparciem</w:t>
      </w:r>
      <w:bookmarkEnd w:id="25"/>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6" w:name="_Toc164069048"/>
      <w:r w:rsidRPr="00B062BE">
        <w:t>Zasady dotyczące doboru wskaźników w projekcie</w:t>
      </w:r>
      <w:bookmarkEnd w:id="26"/>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7" w:name="_Toc164069049"/>
      <w:r w:rsidRPr="0031286D">
        <w:lastRenderedPageBreak/>
        <w:t>Zasady dotyczące pomiaru wskaźników w projekcie</w:t>
      </w:r>
      <w:bookmarkEnd w:id="27"/>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 xml:space="preserve">(tj. przerwanie udziału w projekcie przed </w:t>
      </w:r>
      <w:r w:rsidRPr="009D5055">
        <w:rPr>
          <w:rFonts w:cs="Arial"/>
        </w:rPr>
        <w:lastRenderedPageBreak/>
        <w:t>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8" w:name="_Toc164069050"/>
      <w:r w:rsidRPr="00367E8D">
        <w:lastRenderedPageBreak/>
        <w:t>Moment pomiaru wskaźników</w:t>
      </w:r>
      <w:bookmarkEnd w:id="28"/>
    </w:p>
    <w:p w14:paraId="6963A9C8" w14:textId="0F31BD45" w:rsidR="00367E8D" w:rsidRDefault="00367E8D" w:rsidP="00EC2781">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22ABEC70"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 xml:space="preserve">załączniku nr </w:t>
      </w:r>
      <w:r w:rsidR="00884F9B">
        <w:rPr>
          <w:rFonts w:cs="Arial"/>
        </w:rPr>
        <w:t>3</w:t>
      </w:r>
      <w:r w:rsidR="00884F9B" w:rsidRPr="004C1C84">
        <w:rPr>
          <w:rFonts w:cs="Arial"/>
        </w:rPr>
        <w:t xml:space="preserve"> </w:t>
      </w:r>
      <w:r w:rsidR="00984136" w:rsidRPr="004C1C84">
        <w:rPr>
          <w:rFonts w:cs="Arial"/>
        </w:rPr>
        <w:t>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2"/>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9" w:name="_Toc164069051"/>
      <w:r w:rsidRPr="005B71BA">
        <w:lastRenderedPageBreak/>
        <w:t>Dane uczestników i podmiotów biorących udział w</w:t>
      </w:r>
      <w:r w:rsidR="005B71BA">
        <w:t xml:space="preserve"> </w:t>
      </w:r>
      <w:r w:rsidRPr="005B71BA">
        <w:t>projektach</w:t>
      </w:r>
      <w:bookmarkEnd w:id="29"/>
    </w:p>
    <w:p w14:paraId="358A0CE8" w14:textId="52FC63E9" w:rsidR="005B71BA" w:rsidRPr="005E175A" w:rsidRDefault="00F50D7C" w:rsidP="000B0EC7">
      <w:pPr>
        <w:pStyle w:val="Nagwek3"/>
      </w:pPr>
      <w:bookmarkStart w:id="30" w:name="_Toc164069052"/>
      <w:r w:rsidRPr="005E175A">
        <w:t>Jakość danych</w:t>
      </w:r>
      <w:bookmarkEnd w:id="30"/>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1" w:name="_Toc164069053"/>
      <w:r w:rsidRPr="005B71BA">
        <w:t>Przetwarzanie i agregowanie danych w</w:t>
      </w:r>
      <w:r w:rsidR="005B71BA" w:rsidRPr="005B71BA">
        <w:t xml:space="preserve"> CST2021</w:t>
      </w:r>
      <w:bookmarkEnd w:id="31"/>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3"/>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2" w:name="_Toc164069054"/>
      <w:r w:rsidRPr="005B71BA">
        <w:t>Zakres danych dotyczących uczestników projektów</w:t>
      </w:r>
      <w:bookmarkEnd w:id="32"/>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4"/>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3" w:name="_Toc164069055"/>
      <w:bookmarkStart w:id="34"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3"/>
    </w:p>
    <w:p w14:paraId="507ED284" w14:textId="5D18874D" w:rsidR="00E122C6" w:rsidRPr="000B0EC7" w:rsidRDefault="00E122C6" w:rsidP="000B0EC7">
      <w:pPr>
        <w:pStyle w:val="Nagwek3"/>
      </w:pPr>
      <w:bookmarkStart w:id="35" w:name="_Toc164069056"/>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5"/>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498"/>
        <w:gridCol w:w="2457"/>
        <w:gridCol w:w="9309"/>
      </w:tblGrid>
      <w:tr w:rsidR="00954891" w:rsidRPr="00DA0301" w14:paraId="2F5BAB7F" w14:textId="77777777" w:rsidTr="00EC2781">
        <w:trPr>
          <w:tblHeader/>
        </w:trPr>
        <w:tc>
          <w:tcPr>
            <w:tcW w:w="486" w:type="dxa"/>
          </w:tcPr>
          <w:p w14:paraId="767B8A1E" w14:textId="77777777" w:rsidR="00954891" w:rsidRPr="00DA0301" w:rsidRDefault="00954891" w:rsidP="00884F9B">
            <w:pPr>
              <w:spacing w:before="0" w:after="120" w:line="276" w:lineRule="auto"/>
              <w:contextualSpacing/>
              <w:rPr>
                <w:b/>
              </w:rPr>
            </w:pPr>
            <w:r w:rsidRPr="00DA0301">
              <w:rPr>
                <w:b/>
              </w:rPr>
              <w:t>Lp.</w:t>
            </w:r>
          </w:p>
        </w:tc>
        <w:tc>
          <w:tcPr>
            <w:tcW w:w="1498" w:type="dxa"/>
            <w:vAlign w:val="center"/>
          </w:tcPr>
          <w:p w14:paraId="7C6EA73E" w14:textId="77777777" w:rsidR="00954891" w:rsidRPr="00DA0301" w:rsidRDefault="00954891" w:rsidP="00A273EE">
            <w:pPr>
              <w:spacing w:before="0" w:after="120" w:line="276" w:lineRule="auto"/>
              <w:contextualSpacing/>
              <w:rPr>
                <w:b/>
              </w:rPr>
            </w:pPr>
            <w:r w:rsidRPr="00DA0301">
              <w:rPr>
                <w:b/>
              </w:rPr>
              <w:t>Kod wskaźnika</w:t>
            </w:r>
          </w:p>
        </w:tc>
        <w:tc>
          <w:tcPr>
            <w:tcW w:w="2457" w:type="dxa"/>
            <w:vAlign w:val="center"/>
          </w:tcPr>
          <w:p w14:paraId="3C12E997" w14:textId="77777777" w:rsidR="00954891" w:rsidRPr="00DA0301" w:rsidRDefault="00954891" w:rsidP="00195DD3">
            <w:pPr>
              <w:spacing w:before="0" w:after="120" w:line="276" w:lineRule="auto"/>
              <w:contextualSpacing/>
              <w:rPr>
                <w:b/>
              </w:rPr>
            </w:pPr>
            <w:r w:rsidRPr="00DA0301">
              <w:rPr>
                <w:b/>
              </w:rPr>
              <w:t xml:space="preserve">Nazwa wskaźnika </w:t>
            </w:r>
            <w:r w:rsidRPr="00DA0301">
              <w:rPr>
                <w:b/>
              </w:rPr>
              <w:br/>
              <w:t>(jednostka miary)</w:t>
            </w:r>
          </w:p>
        </w:tc>
        <w:tc>
          <w:tcPr>
            <w:tcW w:w="9309" w:type="dxa"/>
            <w:vAlign w:val="center"/>
          </w:tcPr>
          <w:p w14:paraId="3C980745" w14:textId="77777777" w:rsidR="00954891" w:rsidRPr="00DA0301" w:rsidRDefault="00954891" w:rsidP="00696F71">
            <w:pPr>
              <w:spacing w:before="0" w:after="120" w:line="276" w:lineRule="auto"/>
              <w:contextualSpacing/>
              <w:rPr>
                <w:b/>
              </w:rPr>
            </w:pPr>
            <w:r w:rsidRPr="00DA0301">
              <w:rPr>
                <w:b/>
              </w:rPr>
              <w:t>Definicja operacyjna/kontekst prawny</w:t>
            </w:r>
          </w:p>
        </w:tc>
      </w:tr>
      <w:tr w:rsidR="00423B01" w:rsidRPr="00DA0301" w14:paraId="0FD5207C" w14:textId="77777777" w:rsidTr="00EC2781">
        <w:tc>
          <w:tcPr>
            <w:tcW w:w="486" w:type="dxa"/>
          </w:tcPr>
          <w:p w14:paraId="6ACF0146" w14:textId="3DA6F2F0" w:rsidR="00423B01" w:rsidRPr="00423B01" w:rsidRDefault="00423B01" w:rsidP="00E96A7B">
            <w:pPr>
              <w:spacing w:before="0" w:after="120"/>
              <w:contextualSpacing/>
              <w:rPr>
                <w:rFonts w:cstheme="minorHAnsi"/>
                <w:szCs w:val="22"/>
              </w:rPr>
            </w:pPr>
            <w:r w:rsidRPr="00423B01">
              <w:rPr>
                <w:rFonts w:cstheme="minorHAnsi"/>
                <w:szCs w:val="22"/>
              </w:rPr>
              <w:t>1</w:t>
            </w:r>
          </w:p>
        </w:tc>
        <w:tc>
          <w:tcPr>
            <w:tcW w:w="1498" w:type="dxa"/>
          </w:tcPr>
          <w:p w14:paraId="2270C7FA" w14:textId="71DE4997" w:rsidR="00423B01" w:rsidRPr="00423B01" w:rsidRDefault="00423B01" w:rsidP="00E96A7B">
            <w:pPr>
              <w:spacing w:before="0" w:after="120"/>
              <w:contextualSpacing/>
              <w:rPr>
                <w:rFonts w:cstheme="minorHAnsi"/>
                <w:szCs w:val="22"/>
              </w:rPr>
            </w:pPr>
            <w:r w:rsidRPr="00423B01">
              <w:rPr>
                <w:rFonts w:cstheme="minorHAnsi"/>
                <w:szCs w:val="22"/>
              </w:rPr>
              <w:t>PLCCO01</w:t>
            </w:r>
          </w:p>
        </w:tc>
        <w:tc>
          <w:tcPr>
            <w:tcW w:w="2457" w:type="dxa"/>
          </w:tcPr>
          <w:p w14:paraId="5BB48AE0" w14:textId="3B36207D" w:rsidR="00423B01" w:rsidRPr="00423B01" w:rsidRDefault="00423B01" w:rsidP="00E96A7B">
            <w:pPr>
              <w:spacing w:before="0"/>
              <w:rPr>
                <w:rFonts w:cstheme="minorHAnsi"/>
                <w:szCs w:val="22"/>
              </w:rPr>
            </w:pPr>
            <w:bookmarkStart w:id="36" w:name="_Hlk166230883"/>
            <w:r w:rsidRPr="00423B01">
              <w:rPr>
                <w:rFonts w:eastAsia="Times New Roman" w:cstheme="minorHAnsi"/>
                <w:szCs w:val="22"/>
                <w:lang w:eastAsia="pl-PL"/>
              </w:rPr>
              <w:t>Liczba osób objętych wsparciem w zakresie równości kobiet i mężczyzn (osoby)</w:t>
            </w:r>
            <w:bookmarkEnd w:id="36"/>
          </w:p>
        </w:tc>
        <w:tc>
          <w:tcPr>
            <w:tcW w:w="9309" w:type="dxa"/>
          </w:tcPr>
          <w:p w14:paraId="7A36D9A0" w14:textId="1863DB66" w:rsidR="00423B01" w:rsidRPr="00423B01" w:rsidRDefault="00423B01" w:rsidP="00E96A7B">
            <w:pPr>
              <w:spacing w:before="0"/>
              <w:jc w:val="both"/>
              <w:rPr>
                <w:rFonts w:eastAsia="Times New Roman" w:cstheme="minorHAnsi"/>
                <w:szCs w:val="22"/>
                <w:lang w:eastAsia="pl-PL"/>
              </w:rPr>
            </w:pPr>
            <w:r w:rsidRPr="00423B01">
              <w:rPr>
                <w:rFonts w:eastAsia="Times New Roman" w:cstheme="minorHAnsi"/>
                <w:szCs w:val="22"/>
                <w:lang w:eastAsia="pl-PL"/>
              </w:rPr>
              <w:t>We wskaźniku należy wykazać wszystkie osoby, które zostały objęte wsparciem EFS+ w zakresie równości kobiet i mężczyzn</w:t>
            </w:r>
            <w:r w:rsidR="00C02245">
              <w:rPr>
                <w:rFonts w:eastAsia="Times New Roman" w:cstheme="minorHAnsi"/>
                <w:szCs w:val="22"/>
                <w:lang w:eastAsia="pl-PL"/>
              </w:rPr>
              <w:t>*</w:t>
            </w:r>
            <w:r w:rsidRPr="00423B01">
              <w:rPr>
                <w:rFonts w:eastAsia="Times New Roman" w:cstheme="minorHAnsi"/>
                <w:szCs w:val="22"/>
                <w:lang w:eastAsia="pl-PL"/>
              </w:rPr>
              <w:t>.</w:t>
            </w:r>
          </w:p>
          <w:p w14:paraId="2547BA59" w14:textId="77777777" w:rsidR="00423B01" w:rsidRPr="00423B01" w:rsidRDefault="00423B01" w:rsidP="00E96A7B">
            <w:pPr>
              <w:spacing w:before="0"/>
              <w:jc w:val="both"/>
              <w:rPr>
                <w:rFonts w:eastAsia="Times New Roman" w:cstheme="minorHAnsi"/>
                <w:szCs w:val="22"/>
                <w:lang w:eastAsia="pl-PL"/>
              </w:rPr>
            </w:pPr>
            <w:r w:rsidRPr="00423B01">
              <w:rPr>
                <w:rFonts w:eastAsia="Times New Roman" w:cstheme="minorHAnsi"/>
                <w:szCs w:val="22"/>
                <w:lang w:eastAsia="pl-PL"/>
              </w:rPr>
              <w:t>Wsparcie to dotyczy w szczególności działań mających bezpośredni wpływ na równość płci, a także udziału w szkoleniach, webinariach, warsztatach dotyczących w szczególności kwestii:</w:t>
            </w:r>
          </w:p>
          <w:p w14:paraId="4BC4BF79" w14:textId="77777777" w:rsidR="00423B01" w:rsidRPr="00423B01" w:rsidRDefault="00423B01" w:rsidP="00E96A7B">
            <w:pPr>
              <w:numPr>
                <w:ilvl w:val="0"/>
                <w:numId w:val="48"/>
              </w:numPr>
              <w:spacing w:before="0"/>
              <w:jc w:val="both"/>
              <w:rPr>
                <w:rFonts w:eastAsia="Times New Roman" w:cstheme="minorHAnsi"/>
                <w:szCs w:val="22"/>
                <w:lang w:eastAsia="pl-PL"/>
              </w:rPr>
            </w:pPr>
            <w:r w:rsidRPr="00423B01">
              <w:rPr>
                <w:rFonts w:eastAsia="Times New Roman" w:cstheme="minorHAnsi"/>
                <w:szCs w:val="22"/>
                <w:lang w:eastAsia="pl-PL"/>
              </w:rPr>
              <w:t>równouprawnienia kobiet i mężczyzn w kontekście obowiązujących przepisów prawa w Polsce;</w:t>
            </w:r>
          </w:p>
          <w:p w14:paraId="55F26850" w14:textId="77777777" w:rsidR="00423B01" w:rsidRPr="00423B01" w:rsidRDefault="00423B01" w:rsidP="00E96A7B">
            <w:pPr>
              <w:numPr>
                <w:ilvl w:val="0"/>
                <w:numId w:val="48"/>
              </w:numPr>
              <w:spacing w:before="0"/>
              <w:jc w:val="both"/>
              <w:rPr>
                <w:rFonts w:eastAsia="Times New Roman" w:cstheme="minorHAnsi"/>
                <w:szCs w:val="22"/>
                <w:lang w:eastAsia="pl-PL"/>
              </w:rPr>
            </w:pPr>
            <w:r w:rsidRPr="00423B01">
              <w:rPr>
                <w:rFonts w:eastAsia="Times New Roman" w:cstheme="minorHAnsi"/>
                <w:szCs w:val="22"/>
                <w:lang w:eastAsia="pl-PL"/>
              </w:rPr>
              <w:t xml:space="preserve">przesłanek i podstawowych regulacji prawnych z zakresu polityki równości Unii Europejskiej; </w:t>
            </w:r>
          </w:p>
          <w:p w14:paraId="4F98995B" w14:textId="77777777" w:rsidR="00423B01" w:rsidRPr="00423B01" w:rsidRDefault="00423B01" w:rsidP="00E96A7B">
            <w:pPr>
              <w:numPr>
                <w:ilvl w:val="0"/>
                <w:numId w:val="48"/>
              </w:numPr>
              <w:spacing w:before="0"/>
              <w:jc w:val="both"/>
              <w:rPr>
                <w:rFonts w:eastAsia="Times New Roman" w:cstheme="minorHAnsi"/>
                <w:szCs w:val="22"/>
                <w:lang w:eastAsia="pl-PL"/>
              </w:rPr>
            </w:pPr>
            <w:r w:rsidRPr="00423B01">
              <w:rPr>
                <w:rFonts w:eastAsia="Times New Roman" w:cstheme="minorHAnsi"/>
                <w:szCs w:val="22"/>
                <w:lang w:eastAsia="pl-PL"/>
              </w:rPr>
              <w:t xml:space="preserve">zwalczania stereotypów płciowych i uprzedzeń; </w:t>
            </w:r>
          </w:p>
          <w:p w14:paraId="2C401F29" w14:textId="77777777" w:rsidR="00423B01" w:rsidRPr="00423B01" w:rsidRDefault="00423B01" w:rsidP="00E96A7B">
            <w:pPr>
              <w:numPr>
                <w:ilvl w:val="0"/>
                <w:numId w:val="48"/>
              </w:numPr>
              <w:spacing w:before="0"/>
              <w:jc w:val="both"/>
              <w:rPr>
                <w:rFonts w:eastAsia="Times New Roman" w:cstheme="minorHAnsi"/>
                <w:szCs w:val="22"/>
                <w:lang w:eastAsia="pl-PL"/>
              </w:rPr>
            </w:pPr>
            <w:r w:rsidRPr="00423B01">
              <w:rPr>
                <w:rFonts w:eastAsia="Times New Roman" w:cstheme="minorHAnsi"/>
                <w:szCs w:val="22"/>
                <w:lang w:eastAsia="pl-PL"/>
              </w:rPr>
              <w:t xml:space="preserve">przejawów dyskryminacji ze względu na płeć; </w:t>
            </w:r>
          </w:p>
          <w:p w14:paraId="32F83F56" w14:textId="77777777" w:rsidR="00423B01" w:rsidRPr="00423B01" w:rsidRDefault="00423B01" w:rsidP="00E96A7B">
            <w:pPr>
              <w:numPr>
                <w:ilvl w:val="0"/>
                <w:numId w:val="48"/>
              </w:numPr>
              <w:spacing w:before="0"/>
              <w:jc w:val="both"/>
              <w:rPr>
                <w:rFonts w:eastAsia="Times New Roman" w:cstheme="minorHAnsi"/>
                <w:szCs w:val="22"/>
                <w:lang w:eastAsia="pl-PL"/>
              </w:rPr>
            </w:pPr>
            <w:r w:rsidRPr="00423B01">
              <w:rPr>
                <w:rFonts w:eastAsia="Times New Roman" w:cstheme="minorHAnsi"/>
                <w:szCs w:val="22"/>
                <w:lang w:eastAsia="pl-PL"/>
              </w:rPr>
              <w:t>podstawowych pojęć związanych z kwestiami równości kobiet i mężczyzn;</w:t>
            </w:r>
          </w:p>
          <w:p w14:paraId="78A29F1B" w14:textId="6B61AD74" w:rsidR="00423B01" w:rsidRDefault="00423B01" w:rsidP="00E96A7B">
            <w:pPr>
              <w:numPr>
                <w:ilvl w:val="0"/>
                <w:numId w:val="48"/>
              </w:numPr>
              <w:spacing w:before="0"/>
              <w:jc w:val="both"/>
              <w:rPr>
                <w:rFonts w:eastAsia="Times New Roman" w:cstheme="minorHAnsi"/>
                <w:szCs w:val="22"/>
                <w:lang w:eastAsia="pl-PL"/>
              </w:rPr>
            </w:pPr>
            <w:r w:rsidRPr="00423B01">
              <w:rPr>
                <w:rFonts w:eastAsia="Times New Roman" w:cstheme="minorHAnsi"/>
                <w:szCs w:val="22"/>
                <w:lang w:eastAsia="pl-PL"/>
              </w:rPr>
              <w:t xml:space="preserve">ekonomicznych i społecznych konsekwencji braku równości; </w:t>
            </w:r>
          </w:p>
          <w:p w14:paraId="5EB2DE9F" w14:textId="77777777" w:rsidR="00423B01" w:rsidRDefault="00423B01" w:rsidP="00E96A7B">
            <w:pPr>
              <w:numPr>
                <w:ilvl w:val="0"/>
                <w:numId w:val="48"/>
              </w:numPr>
              <w:spacing w:before="0" w:after="120"/>
              <w:ind w:left="714" w:hanging="357"/>
              <w:jc w:val="both"/>
              <w:rPr>
                <w:rFonts w:eastAsia="Times New Roman" w:cstheme="minorHAnsi"/>
                <w:szCs w:val="22"/>
                <w:lang w:eastAsia="pl-PL"/>
              </w:rPr>
            </w:pPr>
            <w:r w:rsidRPr="00423B01">
              <w:rPr>
                <w:rFonts w:eastAsia="Times New Roman" w:cstheme="minorHAnsi"/>
                <w:szCs w:val="22"/>
                <w:lang w:eastAsia="pl-PL"/>
              </w:rPr>
              <w:t>dobrych praktyk w zakresie równości kobiet i mężczyzn np. w przedsiębiorstwach, organizacjach, czy w innych krajach.</w:t>
            </w:r>
          </w:p>
          <w:p w14:paraId="2008E20F" w14:textId="29ED6D31" w:rsidR="00C02245" w:rsidRPr="00C02245" w:rsidRDefault="00C02245" w:rsidP="00E96A7B">
            <w:pPr>
              <w:pStyle w:val="Akapitzlist"/>
              <w:spacing w:before="0" w:after="120"/>
              <w:ind w:left="0"/>
              <w:jc w:val="both"/>
              <w:rPr>
                <w:rFonts w:eastAsia="Times New Roman" w:cstheme="minorHAnsi"/>
                <w:szCs w:val="22"/>
                <w:lang w:eastAsia="pl-PL"/>
              </w:rPr>
            </w:pPr>
            <w:r>
              <w:rPr>
                <w:rFonts w:eastAsia="Times New Roman" w:cstheme="minorHAnsi"/>
                <w:szCs w:val="22"/>
                <w:lang w:eastAsia="pl-PL"/>
              </w:rPr>
              <w:t>*</w:t>
            </w:r>
            <w:r w:rsidRPr="00C02245">
              <w:rPr>
                <w:rFonts w:eastAsia="Times New Roman" w:cstheme="minorHAnsi"/>
                <w:szCs w:val="22"/>
                <w:lang w:eastAsia="pl-PL"/>
              </w:rPr>
              <w:t>w tym wsparci</w:t>
            </w:r>
            <w:r w:rsidR="00E1695F">
              <w:rPr>
                <w:rFonts w:eastAsia="Times New Roman" w:cstheme="minorHAnsi"/>
                <w:szCs w:val="22"/>
                <w:lang w:eastAsia="pl-PL"/>
              </w:rPr>
              <w:t>em</w:t>
            </w:r>
            <w:r w:rsidRPr="00C02245">
              <w:rPr>
                <w:rFonts w:eastAsia="Times New Roman" w:cstheme="minorHAnsi"/>
                <w:szCs w:val="22"/>
                <w:lang w:eastAsia="pl-PL"/>
              </w:rPr>
              <w:t xml:space="preserve"> w zakres</w:t>
            </w:r>
            <w:r>
              <w:rPr>
                <w:rFonts w:eastAsia="Times New Roman" w:cstheme="minorHAnsi"/>
                <w:szCs w:val="22"/>
                <w:lang w:eastAsia="pl-PL"/>
              </w:rPr>
              <w:t>ie aktywizacji</w:t>
            </w:r>
            <w:r w:rsidR="003F2C25">
              <w:rPr>
                <w:rFonts w:eastAsia="Times New Roman" w:cstheme="minorHAnsi"/>
                <w:szCs w:val="22"/>
                <w:lang w:eastAsia="pl-PL"/>
              </w:rPr>
              <w:t xml:space="preserve"> społeczno</w:t>
            </w:r>
            <w:r w:rsidR="00E1695F">
              <w:rPr>
                <w:rFonts w:eastAsia="Times New Roman" w:cstheme="minorHAnsi"/>
                <w:szCs w:val="22"/>
                <w:lang w:eastAsia="pl-PL"/>
              </w:rPr>
              <w:t xml:space="preserve"> </w:t>
            </w:r>
            <w:r w:rsidR="003F2C25">
              <w:rPr>
                <w:rFonts w:eastAsia="Times New Roman" w:cstheme="minorHAnsi"/>
                <w:szCs w:val="22"/>
                <w:lang w:eastAsia="pl-PL"/>
              </w:rPr>
              <w:t>- zawodowej kobiet.</w:t>
            </w:r>
          </w:p>
        </w:tc>
      </w:tr>
      <w:tr w:rsidR="00423B01" w:rsidRPr="00DA0301" w14:paraId="67F93BC2" w14:textId="77777777" w:rsidTr="00EC2781">
        <w:tc>
          <w:tcPr>
            <w:tcW w:w="486" w:type="dxa"/>
          </w:tcPr>
          <w:p w14:paraId="184B08F1" w14:textId="00DC9140" w:rsidR="00423B01" w:rsidRPr="00423B01" w:rsidRDefault="00423B01" w:rsidP="00E96A7B">
            <w:pPr>
              <w:spacing w:before="0" w:after="120"/>
              <w:contextualSpacing/>
              <w:rPr>
                <w:rFonts w:cstheme="minorHAnsi"/>
                <w:szCs w:val="22"/>
              </w:rPr>
            </w:pPr>
            <w:r w:rsidRPr="00423B01">
              <w:rPr>
                <w:rFonts w:cstheme="minorHAnsi"/>
                <w:szCs w:val="22"/>
              </w:rPr>
              <w:t>2</w:t>
            </w:r>
          </w:p>
        </w:tc>
        <w:tc>
          <w:tcPr>
            <w:tcW w:w="1498" w:type="dxa"/>
          </w:tcPr>
          <w:p w14:paraId="11A2D4C1" w14:textId="72DA7EDD" w:rsidR="00423B01" w:rsidRPr="00423B01" w:rsidRDefault="00423B01" w:rsidP="00E96A7B">
            <w:pPr>
              <w:spacing w:before="0" w:after="120"/>
              <w:contextualSpacing/>
              <w:rPr>
                <w:rFonts w:cstheme="minorHAnsi"/>
                <w:szCs w:val="22"/>
              </w:rPr>
            </w:pPr>
            <w:r w:rsidRPr="00423B01">
              <w:rPr>
                <w:rFonts w:eastAsia="Times New Roman" w:cstheme="minorHAnsi"/>
                <w:szCs w:val="22"/>
                <w:lang w:eastAsia="pl-PL"/>
              </w:rPr>
              <w:t>PLCCO02</w:t>
            </w:r>
          </w:p>
        </w:tc>
        <w:tc>
          <w:tcPr>
            <w:tcW w:w="2457" w:type="dxa"/>
          </w:tcPr>
          <w:p w14:paraId="2EC8A35E" w14:textId="5081814B" w:rsidR="00423B01" w:rsidRPr="00423B01" w:rsidRDefault="00423B01" w:rsidP="00E96A7B">
            <w:pPr>
              <w:spacing w:before="0"/>
              <w:rPr>
                <w:rFonts w:cstheme="minorHAnsi"/>
                <w:szCs w:val="22"/>
              </w:rPr>
            </w:pPr>
            <w:r w:rsidRPr="00423B01">
              <w:rPr>
                <w:rFonts w:cstheme="minorHAnsi"/>
                <w:szCs w:val="22"/>
              </w:rPr>
              <w:t xml:space="preserve">Liczba osób objętych wsparciem w zakresie godzenia życia zawodowego </w:t>
            </w:r>
            <w:r w:rsidRPr="00423B01">
              <w:rPr>
                <w:rFonts w:cstheme="minorHAnsi"/>
                <w:szCs w:val="22"/>
              </w:rPr>
              <w:br/>
              <w:t>z prywatnym (osoby)</w:t>
            </w:r>
          </w:p>
        </w:tc>
        <w:tc>
          <w:tcPr>
            <w:tcW w:w="9309" w:type="dxa"/>
          </w:tcPr>
          <w:p w14:paraId="090A7F92" w14:textId="77777777" w:rsidR="00423B01" w:rsidRDefault="00423B01" w:rsidP="00E96A7B">
            <w:pPr>
              <w:spacing w:before="0" w:after="160"/>
              <w:rPr>
                <w:rFonts w:eastAsia="Calibri" w:cstheme="minorHAnsi"/>
                <w:szCs w:val="22"/>
              </w:rPr>
            </w:pPr>
            <w:r w:rsidRPr="00423B01">
              <w:rPr>
                <w:rFonts w:eastAsia="Calibri" w:cstheme="minorHAnsi"/>
                <w:szCs w:val="22"/>
              </w:rPr>
              <w:t xml:space="preserve">We wskaźniku należy wykazać wszystkie osoby, które zostały objęte wsparciem EFS+ w zakresie godzenia życia zawodowego z prywatnym. </w:t>
            </w:r>
          </w:p>
          <w:p w14:paraId="623009EA" w14:textId="72CCB6EA" w:rsidR="00423B01" w:rsidRPr="00423B01" w:rsidRDefault="00423B01" w:rsidP="00E96A7B">
            <w:pPr>
              <w:spacing w:before="0" w:after="160"/>
              <w:rPr>
                <w:rFonts w:eastAsia="Calibri" w:cstheme="minorHAnsi"/>
                <w:szCs w:val="22"/>
              </w:rPr>
            </w:pPr>
            <w:r w:rsidRPr="00423B01">
              <w:rPr>
                <w:rFonts w:eastAsia="Calibri" w:cstheme="minorHAnsi"/>
                <w:szCs w:val="22"/>
              </w:rPr>
              <w:t xml:space="preserve">Wsparcie w zakresie godzenia życia zawodowego z prywatnym należy rozumieć jako wszelkie formy pomocy uczestniczce/ uczestnikowi projektu, które sprzyjają wypracowaniu równowagi pomiędzy pracą zawodową, a życiem prywatnym dzięki czemu umożliwiają poprawę warunków zatrudnienia </w:t>
            </w:r>
            <w:r w:rsidRPr="00423B01">
              <w:rPr>
                <w:rFonts w:eastAsia="Calibri" w:cstheme="minorHAnsi"/>
                <w:szCs w:val="22"/>
              </w:rPr>
              <w:lastRenderedPageBreak/>
              <w:t xml:space="preserve">lub mogą przyczyniać się do podjęcia pracy zawodowej lub umożliwiają poszukiwanie zatrudnienia lub zmianę pracy na lepszą. Mogą to być np. działania dotyczące elastycznych form zatrudnienia, pracy zdalnej, opieki </w:t>
            </w:r>
            <w:proofErr w:type="spellStart"/>
            <w:r w:rsidRPr="00423B01">
              <w:rPr>
                <w:rFonts w:eastAsia="Calibri" w:cstheme="minorHAnsi"/>
                <w:szCs w:val="22"/>
              </w:rPr>
              <w:t>wytchnieniowej</w:t>
            </w:r>
            <w:proofErr w:type="spellEnd"/>
            <w:r w:rsidRPr="00423B01">
              <w:rPr>
                <w:rFonts w:eastAsia="Calibri" w:cstheme="minorHAnsi"/>
                <w:szCs w:val="22"/>
              </w:rPr>
              <w:t xml:space="preserve"> dla opiekunów osób potrzebujących wsparcia w codziennym funkcjonowaniu wsparcie psychologiczne, szkolenia z zarządzania czasem.</w:t>
            </w:r>
          </w:p>
        </w:tc>
      </w:tr>
      <w:tr w:rsidR="00423B01" w:rsidRPr="00DA0301" w14:paraId="2A8916B8" w14:textId="77777777" w:rsidTr="00EC2781">
        <w:tc>
          <w:tcPr>
            <w:tcW w:w="486" w:type="dxa"/>
          </w:tcPr>
          <w:p w14:paraId="40CFB28B" w14:textId="28DAD996" w:rsidR="00423B01" w:rsidRPr="00423B01" w:rsidRDefault="00423B01" w:rsidP="00E96A7B">
            <w:pPr>
              <w:spacing w:before="0" w:after="120"/>
              <w:contextualSpacing/>
              <w:rPr>
                <w:rFonts w:cstheme="minorHAnsi"/>
                <w:szCs w:val="22"/>
              </w:rPr>
            </w:pPr>
            <w:r w:rsidRPr="00423B01">
              <w:rPr>
                <w:rFonts w:cstheme="minorHAnsi"/>
                <w:szCs w:val="22"/>
              </w:rPr>
              <w:lastRenderedPageBreak/>
              <w:t>3</w:t>
            </w:r>
          </w:p>
        </w:tc>
        <w:tc>
          <w:tcPr>
            <w:tcW w:w="1498" w:type="dxa"/>
          </w:tcPr>
          <w:p w14:paraId="7B014719" w14:textId="3D23B098" w:rsidR="00423B01" w:rsidRPr="00423B01" w:rsidRDefault="00423B01" w:rsidP="00E96A7B">
            <w:pPr>
              <w:spacing w:before="0" w:after="120"/>
              <w:contextualSpacing/>
              <w:rPr>
                <w:rFonts w:cstheme="minorHAnsi"/>
                <w:szCs w:val="22"/>
              </w:rPr>
            </w:pPr>
            <w:r w:rsidRPr="00423B01">
              <w:rPr>
                <w:rFonts w:cstheme="minorHAnsi"/>
                <w:szCs w:val="22"/>
              </w:rPr>
              <w:t>EECO18</w:t>
            </w:r>
            <w:r w:rsidRPr="00423B01">
              <w:rPr>
                <w:rFonts w:cstheme="minorHAnsi"/>
                <w:szCs w:val="22"/>
              </w:rPr>
              <w:br/>
            </w:r>
          </w:p>
        </w:tc>
        <w:tc>
          <w:tcPr>
            <w:tcW w:w="2457" w:type="dxa"/>
          </w:tcPr>
          <w:p w14:paraId="7B118AA8" w14:textId="691B524B" w:rsidR="00423B01" w:rsidRPr="00423B01" w:rsidRDefault="00423B01" w:rsidP="00E96A7B">
            <w:pPr>
              <w:spacing w:before="0"/>
              <w:rPr>
                <w:rFonts w:cstheme="minorHAnsi"/>
                <w:szCs w:val="22"/>
              </w:rPr>
            </w:pPr>
            <w:r w:rsidRPr="00423B01">
              <w:rPr>
                <w:rFonts w:cstheme="minorHAnsi"/>
                <w:szCs w:val="22"/>
              </w:rPr>
              <w:t>Liczba objętych wsparciem podmiotów administracji publicznej lub służb publicznych na szczeblu krajowym, regionalnym lub lokalnym (podmioty)</w:t>
            </w:r>
          </w:p>
        </w:tc>
        <w:tc>
          <w:tcPr>
            <w:tcW w:w="9309" w:type="dxa"/>
          </w:tcPr>
          <w:p w14:paraId="615BFC5A" w14:textId="77777777" w:rsidR="003A0AF6" w:rsidRDefault="00423B01" w:rsidP="00E96A7B">
            <w:pPr>
              <w:pStyle w:val="Akapitzlist"/>
              <w:spacing w:before="0" w:after="120"/>
              <w:ind w:left="0"/>
              <w:contextualSpacing w:val="0"/>
              <w:rPr>
                <w:rFonts w:cstheme="minorHAnsi"/>
                <w:szCs w:val="22"/>
              </w:rPr>
            </w:pPr>
            <w:r w:rsidRPr="00423B01">
              <w:rPr>
                <w:rFonts w:cstheme="minorHAnsi"/>
                <w:szCs w:val="22"/>
              </w:rPr>
              <w:t xml:space="preserve">Za służby publiczne uznaje się publiczne lub prywatne podmioty, które świadczą usługi publiczne </w:t>
            </w:r>
            <w:r w:rsidRPr="00423B01">
              <w:rPr>
                <w:rFonts w:cstheme="minorHAnsi"/>
                <w:szCs w:val="22"/>
              </w:rPr>
              <w:br/>
              <w:t xml:space="preserve">(w przypadku usług publicznych zlecanych przez państwo podmiotom prywatnym lub świadczonych </w:t>
            </w:r>
            <w:r w:rsidRPr="00423B01">
              <w:rPr>
                <w:rFonts w:cstheme="minorHAnsi"/>
                <w:szCs w:val="22"/>
              </w:rPr>
              <w:br/>
              <w:t>w ramach partnerstwa publiczno-prywatnego).</w:t>
            </w:r>
          </w:p>
          <w:p w14:paraId="14DE8762" w14:textId="24977479" w:rsidR="00423B01" w:rsidRPr="00423B01" w:rsidRDefault="008A00FF" w:rsidP="00E96A7B">
            <w:pPr>
              <w:pStyle w:val="Akapitzlist"/>
              <w:spacing w:before="0" w:after="120"/>
              <w:ind w:left="0"/>
              <w:contextualSpacing w:val="0"/>
              <w:rPr>
                <w:rFonts w:cstheme="minorHAnsi"/>
                <w:szCs w:val="22"/>
              </w:rPr>
            </w:pPr>
            <w:r>
              <w:rPr>
                <w:rFonts w:cstheme="minorHAnsi"/>
                <w:szCs w:val="22"/>
              </w:rPr>
              <w:br/>
            </w:r>
            <w:r w:rsidR="00423B01" w:rsidRPr="00423B01">
              <w:rPr>
                <w:rFonts w:cstheme="minorHAnsi"/>
                <w:szCs w:val="22"/>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w:t>
            </w:r>
            <w:r w:rsidR="00423B01" w:rsidRPr="00423B01">
              <w:rPr>
                <w:rFonts w:cstheme="minorHAnsi"/>
                <w:szCs w:val="22"/>
              </w:rPr>
              <w:br/>
              <w:t>i rozwoju oraz powiązanymi funduszami; administrację i realizację  ogólnego planowania gospodarczego i społecznego oraz usług statystycznych na różnych szczeblach rządzenia.</w:t>
            </w:r>
          </w:p>
          <w:p w14:paraId="37FC7E7D" w14:textId="0734D5FB" w:rsidR="00423B01" w:rsidRDefault="00423B01" w:rsidP="00E96A7B">
            <w:pPr>
              <w:pStyle w:val="Akapitzlist"/>
              <w:spacing w:before="120" w:after="120"/>
              <w:ind w:left="0"/>
              <w:rPr>
                <w:rFonts w:cstheme="minorHAnsi"/>
                <w:szCs w:val="22"/>
              </w:rPr>
            </w:pPr>
            <w:r w:rsidRPr="00423B01">
              <w:rPr>
                <w:rFonts w:cstheme="minorHAnsi"/>
                <w:szCs w:val="22"/>
              </w:rPr>
              <w:t>Informacje dotyczące podmiotów objętych wsparciem powinny pochodzić z dokumentów administracyjnych np. z umów o dofinansowanie.</w:t>
            </w:r>
          </w:p>
          <w:p w14:paraId="6C8D4A9D" w14:textId="77777777" w:rsidR="00423B01" w:rsidRPr="00423B01" w:rsidRDefault="00423B01" w:rsidP="00E96A7B">
            <w:pPr>
              <w:pStyle w:val="Akapitzlist"/>
              <w:spacing w:before="120" w:after="120"/>
              <w:ind w:left="0"/>
              <w:rPr>
                <w:rFonts w:cstheme="minorHAnsi"/>
                <w:szCs w:val="22"/>
              </w:rPr>
            </w:pPr>
            <w:r w:rsidRPr="00423B01">
              <w:rPr>
                <w:rFonts w:cstheme="minorHAnsi"/>
                <w:szCs w:val="22"/>
              </w:rPr>
              <w:t>Do wskaźnika wliczane są tylko te podmioty, dla których można wyróżnić wydatki (nie dotyczy pomocy technicznej).</w:t>
            </w:r>
          </w:p>
          <w:p w14:paraId="6B01438B" w14:textId="037454A3" w:rsidR="00423B01" w:rsidRPr="00423B01" w:rsidRDefault="00423B01" w:rsidP="00E96A7B">
            <w:pPr>
              <w:spacing w:before="0" w:after="120"/>
              <w:rPr>
                <w:rFonts w:cstheme="minorHAnsi"/>
                <w:szCs w:val="22"/>
              </w:rPr>
            </w:pPr>
            <w:r w:rsidRPr="00423B01">
              <w:rPr>
                <w:rFonts w:cstheme="minorHAnsi"/>
                <w:szCs w:val="22"/>
              </w:rPr>
              <w:t>Podmiot jest wliczany do wskaźnika w momencie rozpoczęcia udziału w projekcie.</w:t>
            </w:r>
          </w:p>
        </w:tc>
      </w:tr>
      <w:tr w:rsidR="00423B01" w:rsidRPr="00DA0301" w14:paraId="3938CC8D" w14:textId="77777777" w:rsidTr="00EC2781">
        <w:tc>
          <w:tcPr>
            <w:tcW w:w="486" w:type="dxa"/>
          </w:tcPr>
          <w:p w14:paraId="6C3A70AC" w14:textId="3DCC76D6" w:rsidR="00423B01" w:rsidRPr="00423B01" w:rsidRDefault="00423B01" w:rsidP="00E96A7B">
            <w:pPr>
              <w:spacing w:before="0" w:after="120"/>
              <w:contextualSpacing/>
              <w:rPr>
                <w:rFonts w:cstheme="minorHAnsi"/>
                <w:szCs w:val="22"/>
              </w:rPr>
            </w:pPr>
            <w:r w:rsidRPr="00423B01">
              <w:rPr>
                <w:rFonts w:cstheme="minorHAnsi"/>
                <w:szCs w:val="22"/>
              </w:rPr>
              <w:t>4</w:t>
            </w:r>
          </w:p>
        </w:tc>
        <w:tc>
          <w:tcPr>
            <w:tcW w:w="1498" w:type="dxa"/>
          </w:tcPr>
          <w:p w14:paraId="19015DE4" w14:textId="280E6A07" w:rsidR="00423B01" w:rsidRPr="00423B01" w:rsidRDefault="00423B01" w:rsidP="00E96A7B">
            <w:pPr>
              <w:spacing w:before="0" w:after="120"/>
              <w:contextualSpacing/>
              <w:rPr>
                <w:rFonts w:cstheme="minorHAnsi"/>
                <w:szCs w:val="22"/>
              </w:rPr>
            </w:pPr>
            <w:r w:rsidRPr="00423B01">
              <w:rPr>
                <w:rFonts w:cstheme="minorHAnsi"/>
                <w:szCs w:val="22"/>
              </w:rPr>
              <w:t>EECO19</w:t>
            </w:r>
          </w:p>
        </w:tc>
        <w:tc>
          <w:tcPr>
            <w:tcW w:w="2457" w:type="dxa"/>
          </w:tcPr>
          <w:p w14:paraId="647BA5F4" w14:textId="291974BB" w:rsidR="00423B01" w:rsidRPr="00423B01" w:rsidRDefault="00423B01" w:rsidP="00E96A7B">
            <w:pPr>
              <w:spacing w:before="0"/>
              <w:rPr>
                <w:rFonts w:cstheme="minorHAnsi"/>
                <w:szCs w:val="22"/>
              </w:rPr>
            </w:pPr>
            <w:r w:rsidRPr="00423B01">
              <w:rPr>
                <w:rFonts w:cstheme="minorHAnsi"/>
                <w:szCs w:val="22"/>
              </w:rPr>
              <w:t xml:space="preserve">Liczba objętych wsparciem mikro-, małych i średnich przedsiębiorstw </w:t>
            </w:r>
            <w:r w:rsidRPr="00423B01">
              <w:rPr>
                <w:rFonts w:cstheme="minorHAnsi"/>
                <w:szCs w:val="22"/>
              </w:rPr>
              <w:br/>
              <w:t xml:space="preserve">(w tym spółdzielni </w:t>
            </w:r>
            <w:r w:rsidRPr="00423B01">
              <w:rPr>
                <w:rFonts w:cstheme="minorHAnsi"/>
                <w:szCs w:val="22"/>
              </w:rPr>
              <w:br/>
              <w:t>i przedsiębiorstw społecznych) (przedsiębiorstwa)</w:t>
            </w:r>
          </w:p>
        </w:tc>
        <w:tc>
          <w:tcPr>
            <w:tcW w:w="9309" w:type="dxa"/>
          </w:tcPr>
          <w:p w14:paraId="20769163" w14:textId="77777777" w:rsidR="00423B01" w:rsidRPr="00423B01" w:rsidRDefault="00423B01" w:rsidP="00E96A7B">
            <w:pPr>
              <w:pStyle w:val="Akapitzlist"/>
              <w:spacing w:beforeAutospacing="1" w:after="100" w:afterAutospacing="1"/>
              <w:ind w:left="0"/>
              <w:rPr>
                <w:rFonts w:cstheme="minorHAnsi"/>
                <w:szCs w:val="22"/>
              </w:rPr>
            </w:pPr>
            <w:r w:rsidRPr="00423B01">
              <w:rPr>
                <w:rFonts w:cstheme="minorHAnsi"/>
                <w:szCs w:val="22"/>
              </w:rPr>
              <w:t>Za przedsiębiorstwo uważa się podmiot prowadzący działalność gospodarczą bez względu na jego formę prawną, w tym spółdzielnie i przedsiębiorstwa społeczne.</w:t>
            </w:r>
          </w:p>
          <w:p w14:paraId="7FB448B8" w14:textId="77777777" w:rsidR="00423B01" w:rsidRPr="00423B01" w:rsidRDefault="00423B01" w:rsidP="00E96A7B">
            <w:pPr>
              <w:pStyle w:val="Akapitzlist"/>
              <w:spacing w:beforeAutospacing="1" w:after="100" w:afterAutospacing="1"/>
              <w:ind w:left="0"/>
              <w:rPr>
                <w:rFonts w:cstheme="minorHAnsi"/>
                <w:szCs w:val="22"/>
              </w:rPr>
            </w:pPr>
            <w:r w:rsidRPr="00423B01">
              <w:rPr>
                <w:rFonts w:cstheme="minorHAnsi"/>
                <w:szCs w:val="22"/>
              </w:rPr>
              <w:t xml:space="preserve">Na kategorię mikroprzedsiębiorstw oraz małych i średnich przedsiębiorstw (MMŚP) składają się przedsiębiorstwa, które zatrudniają mniej niż 250 pracowników, których roczny obrót nie przekracza </w:t>
            </w:r>
            <w:r w:rsidRPr="00423B01">
              <w:rPr>
                <w:rFonts w:cstheme="minorHAnsi"/>
                <w:szCs w:val="22"/>
              </w:rPr>
              <w:br/>
              <w:t>50 milionów EUR lub roczna suma bilansowa nie przekracza 43 milionów EUR.</w:t>
            </w:r>
          </w:p>
          <w:p w14:paraId="4256BF2B" w14:textId="77777777" w:rsidR="00423B01" w:rsidRPr="00423B01" w:rsidRDefault="00423B01" w:rsidP="00E96A7B">
            <w:pPr>
              <w:spacing w:beforeAutospacing="1" w:after="100" w:afterAutospacing="1"/>
              <w:rPr>
                <w:rFonts w:eastAsia="Times New Roman" w:cstheme="minorHAnsi"/>
                <w:szCs w:val="22"/>
                <w:lang w:eastAsia="pl-PL"/>
              </w:rPr>
            </w:pPr>
            <w:r w:rsidRPr="00423B01">
              <w:rPr>
                <w:rFonts w:eastAsia="Times New Roman" w:cstheme="minorHAnsi"/>
                <w:szCs w:val="22"/>
                <w:lang w:eastAsia="pl-PL"/>
              </w:rPr>
              <w:lastRenderedPageBreak/>
              <w:t>Definicje na podstawie: Zalecenie Komisji z dnia 6 maja 2003 r. dotyczące definicji mikroprzedsiębiorstw oraz małych i średnich przedsiębiorstw (2003/361/WE).</w:t>
            </w:r>
          </w:p>
          <w:p w14:paraId="14F0A612" w14:textId="77777777" w:rsidR="00423B01" w:rsidRPr="00423B01" w:rsidRDefault="00423B01" w:rsidP="00E96A7B">
            <w:pPr>
              <w:spacing w:beforeAutospacing="1" w:after="100" w:afterAutospacing="1"/>
              <w:jc w:val="both"/>
              <w:rPr>
                <w:rFonts w:eastAsia="Times New Roman" w:cstheme="minorHAnsi"/>
                <w:szCs w:val="22"/>
                <w:lang w:eastAsia="pl-PL"/>
              </w:rPr>
            </w:pPr>
            <w:r w:rsidRPr="00423B01">
              <w:rPr>
                <w:rFonts w:eastAsia="Times New Roman" w:cstheme="minorHAnsi"/>
                <w:szCs w:val="22"/>
                <w:lang w:eastAsia="pl-PL"/>
              </w:rPr>
              <w:t>Dodatkowe informacje:</w:t>
            </w:r>
          </w:p>
          <w:p w14:paraId="6F1FC505" w14:textId="77777777" w:rsidR="00423B01" w:rsidRPr="00423B01" w:rsidRDefault="00423B01" w:rsidP="00E96A7B">
            <w:pPr>
              <w:spacing w:beforeAutospacing="1" w:after="100" w:afterAutospacing="1"/>
              <w:rPr>
                <w:rFonts w:cstheme="minorHAnsi"/>
                <w:szCs w:val="22"/>
              </w:rPr>
            </w:pPr>
            <w:r w:rsidRPr="00423B01">
              <w:rPr>
                <w:rFonts w:cstheme="minorHAnsi"/>
                <w:szCs w:val="22"/>
              </w:rPr>
              <w:t>W kategorii mikroprzedsiębiorstwa należy uwzględnić również osoby prowadzące działalność na własny rachunek.</w:t>
            </w:r>
          </w:p>
          <w:p w14:paraId="30D651C5" w14:textId="77777777" w:rsidR="00423B01" w:rsidRPr="00423B01" w:rsidRDefault="00423B01" w:rsidP="00E96A7B">
            <w:pPr>
              <w:spacing w:beforeAutospacing="1" w:after="100" w:afterAutospacing="1"/>
              <w:rPr>
                <w:rFonts w:cstheme="minorHAnsi"/>
                <w:szCs w:val="22"/>
              </w:rPr>
            </w:pPr>
            <w:r w:rsidRPr="00423B01">
              <w:rPr>
                <w:rFonts w:cstheme="minorHAnsi"/>
                <w:szCs w:val="22"/>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1DAE0D16" w14:textId="290BBD46" w:rsidR="00423B01" w:rsidRPr="00423B01" w:rsidRDefault="00423B01" w:rsidP="00E96A7B">
            <w:pPr>
              <w:spacing w:before="0" w:after="120"/>
              <w:rPr>
                <w:rFonts w:cstheme="minorHAnsi"/>
                <w:szCs w:val="22"/>
              </w:rPr>
            </w:pPr>
            <w:r w:rsidRPr="00423B01">
              <w:rPr>
                <w:rFonts w:cstheme="minorHAnsi"/>
                <w:szCs w:val="22"/>
              </w:rPr>
              <w:t>Podmiot jest wliczany do wskaźnika w momencie rozpoczęcia udziału w projekcie.</w:t>
            </w:r>
          </w:p>
        </w:tc>
      </w:tr>
      <w:tr w:rsidR="00423B01" w:rsidRPr="00DA0301" w14:paraId="49CF8D89" w14:textId="77777777" w:rsidTr="00EC2781">
        <w:tc>
          <w:tcPr>
            <w:tcW w:w="486" w:type="dxa"/>
          </w:tcPr>
          <w:p w14:paraId="5599B6AE" w14:textId="4C09449E" w:rsidR="00423B01" w:rsidRPr="00423B01" w:rsidRDefault="00423B01" w:rsidP="00E96A7B">
            <w:pPr>
              <w:spacing w:before="0" w:after="120"/>
              <w:contextualSpacing/>
              <w:rPr>
                <w:rFonts w:cstheme="minorHAnsi"/>
                <w:szCs w:val="22"/>
              </w:rPr>
            </w:pPr>
            <w:r w:rsidRPr="00423B01">
              <w:rPr>
                <w:rFonts w:cstheme="minorHAnsi"/>
                <w:szCs w:val="22"/>
              </w:rPr>
              <w:lastRenderedPageBreak/>
              <w:t>5</w:t>
            </w:r>
          </w:p>
        </w:tc>
        <w:tc>
          <w:tcPr>
            <w:tcW w:w="1498" w:type="dxa"/>
          </w:tcPr>
          <w:p w14:paraId="050209DB" w14:textId="284A1712" w:rsidR="00423B01" w:rsidRPr="00423B01" w:rsidRDefault="00423B01" w:rsidP="00E96A7B">
            <w:pPr>
              <w:spacing w:before="0" w:after="120"/>
              <w:contextualSpacing/>
              <w:rPr>
                <w:rFonts w:cstheme="minorHAnsi"/>
                <w:szCs w:val="22"/>
              </w:rPr>
            </w:pPr>
            <w:r w:rsidRPr="00423B01">
              <w:rPr>
                <w:rFonts w:cstheme="minorHAnsi"/>
                <w:szCs w:val="22"/>
              </w:rPr>
              <w:t>PL0CO01</w:t>
            </w:r>
          </w:p>
        </w:tc>
        <w:tc>
          <w:tcPr>
            <w:tcW w:w="2457" w:type="dxa"/>
          </w:tcPr>
          <w:p w14:paraId="3A40C577" w14:textId="3D63C62F" w:rsidR="00423B01" w:rsidRPr="00423B01" w:rsidRDefault="00423B01" w:rsidP="00E96A7B">
            <w:pPr>
              <w:spacing w:before="0"/>
              <w:contextualSpacing/>
              <w:rPr>
                <w:rFonts w:cstheme="minorHAnsi"/>
                <w:szCs w:val="22"/>
              </w:rPr>
            </w:pPr>
            <w:r w:rsidRPr="00423B01">
              <w:rPr>
                <w:rFonts w:cstheme="minorHAnsi"/>
                <w:szCs w:val="22"/>
              </w:rPr>
              <w:t xml:space="preserve">Liczba projektów, </w:t>
            </w:r>
            <w:r w:rsidRPr="00423B01">
              <w:rPr>
                <w:rFonts w:cstheme="minorHAnsi"/>
                <w:szCs w:val="22"/>
              </w:rPr>
              <w:br/>
              <w:t>w których sfinansowano koszty racjonalnych usprawnień dla osób z niepełnosprawnościami (sztuki)</w:t>
            </w:r>
          </w:p>
        </w:tc>
        <w:tc>
          <w:tcPr>
            <w:tcW w:w="9309" w:type="dxa"/>
          </w:tcPr>
          <w:p w14:paraId="7D9D9777" w14:textId="77777777" w:rsidR="00423B01" w:rsidRPr="00423B01" w:rsidRDefault="00423B01" w:rsidP="00E96A7B">
            <w:pPr>
              <w:spacing w:beforeAutospacing="1" w:after="100" w:afterAutospacing="1"/>
              <w:rPr>
                <w:rFonts w:cstheme="minorHAnsi"/>
                <w:szCs w:val="22"/>
              </w:rPr>
            </w:pPr>
            <w:r w:rsidRPr="00423B01">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1C8BEAC" w14:textId="77777777" w:rsidR="00423B01" w:rsidRPr="00423B01" w:rsidRDefault="00423B01" w:rsidP="00E96A7B">
            <w:pPr>
              <w:spacing w:beforeAutospacing="1" w:after="100" w:afterAutospacing="1"/>
              <w:rPr>
                <w:rFonts w:cstheme="minorHAnsi"/>
                <w:szCs w:val="22"/>
              </w:rPr>
            </w:pPr>
            <w:r w:rsidRPr="00423B01">
              <w:rPr>
                <w:rFonts w:cstheme="minorHAnsi"/>
                <w:szCs w:val="22"/>
              </w:rPr>
              <w:t>Wskaźnik mierzony jest w momencie rozliczenia wydatku związanego z racjonalnymi usprawnieniami w ramach danego projektu. Tym samym, jego wartość początkowa wynosi 0.</w:t>
            </w:r>
          </w:p>
          <w:p w14:paraId="2D478B80" w14:textId="77777777" w:rsidR="00423B01" w:rsidRPr="00423B01" w:rsidRDefault="00423B01" w:rsidP="00E96A7B">
            <w:pPr>
              <w:spacing w:beforeAutospacing="1" w:after="100" w:afterAutospacing="1"/>
              <w:rPr>
                <w:rFonts w:cstheme="minorHAnsi"/>
                <w:szCs w:val="22"/>
              </w:rPr>
            </w:pPr>
            <w:r w:rsidRPr="00423B01">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3F841968" w14:textId="2CBF7E20" w:rsidR="00423B01" w:rsidRPr="00423B01" w:rsidRDefault="00423B01" w:rsidP="00E96A7B">
            <w:pPr>
              <w:spacing w:before="0" w:after="120"/>
              <w:rPr>
                <w:rFonts w:cstheme="minorHAnsi"/>
                <w:szCs w:val="22"/>
              </w:rPr>
            </w:pPr>
            <w:r w:rsidRPr="00423B01">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w:t>
            </w:r>
            <w:r w:rsidRPr="00423B01">
              <w:rPr>
                <w:rFonts w:cstheme="minorHAnsi"/>
                <w:szCs w:val="22"/>
              </w:rPr>
              <w:lastRenderedPageBreak/>
              <w:t xml:space="preserve">osób z niepełnosprawnościami. </w:t>
            </w:r>
            <w:r w:rsidRPr="00423B01">
              <w:rPr>
                <w:rFonts w:cstheme="minorHAnsi"/>
                <w:szCs w:val="22"/>
              </w:rPr>
              <w:b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423B01">
              <w:rPr>
                <w:rFonts w:cstheme="minorHAnsi"/>
                <w:szCs w:val="22"/>
              </w:rPr>
              <w:br/>
              <w:t>Definicja na podstawie: Wytyczne w zakresie realizacji zasad równościowych w ramach funduszy unijnych na lata 2021-2027.</w:t>
            </w:r>
          </w:p>
        </w:tc>
      </w:tr>
      <w:tr w:rsidR="00423B01" w:rsidRPr="00DA0301" w14:paraId="1CAC814D" w14:textId="77777777" w:rsidTr="00EC2781">
        <w:tc>
          <w:tcPr>
            <w:tcW w:w="486" w:type="dxa"/>
          </w:tcPr>
          <w:p w14:paraId="3A75AA0B" w14:textId="10352AA2" w:rsidR="00423B01" w:rsidRPr="00423B01" w:rsidRDefault="00423B01" w:rsidP="00E96A7B">
            <w:pPr>
              <w:spacing w:before="0" w:after="120"/>
              <w:contextualSpacing/>
              <w:rPr>
                <w:rFonts w:cstheme="minorHAnsi"/>
                <w:szCs w:val="22"/>
              </w:rPr>
            </w:pPr>
            <w:r w:rsidRPr="00423B01">
              <w:rPr>
                <w:rFonts w:cstheme="minorHAnsi"/>
                <w:szCs w:val="22"/>
              </w:rPr>
              <w:lastRenderedPageBreak/>
              <w:t>6</w:t>
            </w:r>
          </w:p>
        </w:tc>
        <w:tc>
          <w:tcPr>
            <w:tcW w:w="1498" w:type="dxa"/>
          </w:tcPr>
          <w:p w14:paraId="4F0949B4" w14:textId="473E5357" w:rsidR="00423B01" w:rsidRPr="00423B01" w:rsidRDefault="00423B01" w:rsidP="00E96A7B">
            <w:pPr>
              <w:spacing w:before="0" w:after="120"/>
              <w:contextualSpacing/>
              <w:rPr>
                <w:rFonts w:cstheme="minorHAnsi"/>
                <w:szCs w:val="22"/>
              </w:rPr>
            </w:pPr>
            <w:r w:rsidRPr="00423B01">
              <w:rPr>
                <w:rFonts w:cstheme="minorHAnsi"/>
                <w:szCs w:val="22"/>
              </w:rPr>
              <w:t>PL0CO02</w:t>
            </w:r>
          </w:p>
        </w:tc>
        <w:tc>
          <w:tcPr>
            <w:tcW w:w="2457" w:type="dxa"/>
          </w:tcPr>
          <w:p w14:paraId="325D52D6" w14:textId="29B89CBF" w:rsidR="00423B01" w:rsidRPr="00423B01" w:rsidRDefault="00423B01" w:rsidP="00E96A7B">
            <w:pPr>
              <w:spacing w:before="0"/>
              <w:contextualSpacing/>
              <w:rPr>
                <w:rFonts w:cstheme="minorHAnsi"/>
                <w:szCs w:val="22"/>
              </w:rPr>
            </w:pPr>
            <w:r w:rsidRPr="00423B01">
              <w:rPr>
                <w:rFonts w:cstheme="minorHAnsi"/>
                <w:szCs w:val="22"/>
              </w:rPr>
              <w:t xml:space="preserve">Liczba obiektów dostosowanych do </w:t>
            </w:r>
            <w:r w:rsidRPr="00423B01">
              <w:rPr>
                <w:rFonts w:cstheme="minorHAnsi"/>
                <w:szCs w:val="22"/>
              </w:rPr>
              <w:br/>
              <w:t>potrzeb osób z niepełnosprawnościami (sztuki)</w:t>
            </w:r>
          </w:p>
        </w:tc>
        <w:tc>
          <w:tcPr>
            <w:tcW w:w="9309" w:type="dxa"/>
          </w:tcPr>
          <w:p w14:paraId="0E4CE102"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Wskaźnik odnosi się do liczby obiektów w ramach realizowanego projektu, które zaopatrzono </w:t>
            </w:r>
            <w:r w:rsidRPr="00423B01">
              <w:rPr>
                <w:rFonts w:cstheme="minorHAnsi"/>
                <w:szCs w:val="22"/>
              </w:rPr>
              <w:br/>
              <w:t xml:space="preserve">w specjalne podjazdy, windy, urządzenia głośnomówiące, bądź inne udogodnienia (tj. usunięcie barier w dostępie, w szczególności barier architektonicznych) ułatwiające dostęp do tych obiektów </w:t>
            </w:r>
            <w:r w:rsidRPr="00423B01">
              <w:rPr>
                <w:rFonts w:cstheme="minorHAnsi"/>
                <w:szCs w:val="22"/>
              </w:rPr>
              <w:br/>
              <w:t>i poruszanie się po nich osobom z niepełnosprawnościami, w szczególności ruchowymi czy sensorycznymi.</w:t>
            </w:r>
          </w:p>
          <w:p w14:paraId="3660D3AF"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Jako obiekty należy rozumieć konstrukcje połączone z gruntem w sposób trwały, wykonane </w:t>
            </w:r>
            <w:r w:rsidRPr="00423B01">
              <w:rPr>
                <w:rFonts w:cstheme="minorHAnsi"/>
                <w:szCs w:val="22"/>
              </w:rPr>
              <w:br/>
              <w:t>z materiałów budowlanych i elementów składowych, będące wynikiem prac budowlanych (wg. def. PKOB).</w:t>
            </w:r>
          </w:p>
          <w:p w14:paraId="3BA59EC4"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4E187E27" w14:textId="5BC895E6" w:rsidR="00423B01" w:rsidRPr="00423B01" w:rsidRDefault="00423B01" w:rsidP="00E96A7B">
            <w:pPr>
              <w:spacing w:before="0" w:after="120"/>
              <w:rPr>
                <w:rFonts w:cstheme="minorHAnsi"/>
                <w:szCs w:val="22"/>
              </w:rPr>
            </w:pPr>
            <w:r w:rsidRPr="00423B01">
              <w:rPr>
                <w:rFonts w:cstheme="minorHAnsi"/>
                <w:szCs w:val="22"/>
              </w:rPr>
              <w:t xml:space="preserve">Wskaźnik mierzony w momencie rozliczenia wydatku związanego z wyposażeniem obiektów </w:t>
            </w:r>
            <w:r w:rsidRPr="00423B01">
              <w:rPr>
                <w:rFonts w:cstheme="minorHAnsi"/>
                <w:szCs w:val="22"/>
              </w:rPr>
              <w:br/>
              <w:t>w rozwiązania służące osobom z niepełnosprawnościami w ramach danego projektu.</w:t>
            </w:r>
          </w:p>
        </w:tc>
      </w:tr>
      <w:tr w:rsidR="00423B01" w:rsidRPr="00DA0301" w14:paraId="0159866C" w14:textId="77777777" w:rsidTr="00EC2781">
        <w:tc>
          <w:tcPr>
            <w:tcW w:w="486" w:type="dxa"/>
          </w:tcPr>
          <w:p w14:paraId="20E9265D" w14:textId="566B14D9" w:rsidR="00423B01" w:rsidRPr="00423B01" w:rsidRDefault="00423B01" w:rsidP="00E96A7B">
            <w:pPr>
              <w:spacing w:before="0" w:after="120"/>
              <w:contextualSpacing/>
              <w:rPr>
                <w:rFonts w:cstheme="minorHAnsi"/>
                <w:szCs w:val="22"/>
              </w:rPr>
            </w:pPr>
            <w:r w:rsidRPr="00423B01">
              <w:rPr>
                <w:rFonts w:cstheme="minorHAnsi"/>
                <w:szCs w:val="22"/>
              </w:rPr>
              <w:t>7</w:t>
            </w:r>
          </w:p>
        </w:tc>
        <w:tc>
          <w:tcPr>
            <w:tcW w:w="1498" w:type="dxa"/>
          </w:tcPr>
          <w:p w14:paraId="2B718AE3" w14:textId="0D54F0AA" w:rsidR="00423B01" w:rsidRPr="00423B01" w:rsidRDefault="00423B01" w:rsidP="00E96A7B">
            <w:pPr>
              <w:spacing w:before="0" w:after="120"/>
              <w:contextualSpacing/>
              <w:rPr>
                <w:rFonts w:cstheme="minorHAnsi"/>
                <w:szCs w:val="22"/>
              </w:rPr>
            </w:pPr>
            <w:r w:rsidRPr="00423B01">
              <w:rPr>
                <w:rFonts w:cstheme="minorHAnsi"/>
                <w:szCs w:val="22"/>
              </w:rPr>
              <w:t>EECO12</w:t>
            </w:r>
          </w:p>
        </w:tc>
        <w:tc>
          <w:tcPr>
            <w:tcW w:w="2457" w:type="dxa"/>
          </w:tcPr>
          <w:p w14:paraId="3DE9FCC8" w14:textId="6076ED79" w:rsidR="00423B01" w:rsidRPr="00423B01" w:rsidRDefault="00423B01" w:rsidP="00E96A7B">
            <w:pPr>
              <w:spacing w:before="0"/>
              <w:contextualSpacing/>
              <w:rPr>
                <w:rFonts w:cstheme="minorHAnsi"/>
                <w:szCs w:val="22"/>
              </w:rPr>
            </w:pPr>
            <w:r w:rsidRPr="00423B01">
              <w:rPr>
                <w:rFonts w:cstheme="minorHAnsi"/>
                <w:szCs w:val="22"/>
              </w:rPr>
              <w:t xml:space="preserve">Liczba osób z niepełnosprawnościami objętych wsparciem </w:t>
            </w:r>
            <w:r w:rsidRPr="00423B01">
              <w:rPr>
                <w:rFonts w:cstheme="minorHAnsi"/>
                <w:szCs w:val="22"/>
              </w:rPr>
              <w:br/>
              <w:t>w programie (osoby)</w:t>
            </w:r>
          </w:p>
        </w:tc>
        <w:tc>
          <w:tcPr>
            <w:tcW w:w="9309" w:type="dxa"/>
          </w:tcPr>
          <w:p w14:paraId="0FA3289B" w14:textId="70F58F01" w:rsidR="00423B01" w:rsidRPr="00423B01" w:rsidRDefault="00423B01" w:rsidP="00E96A7B">
            <w:pPr>
              <w:spacing w:before="0" w:after="120"/>
              <w:rPr>
                <w:rFonts w:cstheme="minorHAnsi"/>
                <w:szCs w:val="22"/>
              </w:rPr>
            </w:pPr>
            <w:r w:rsidRPr="00423B01">
              <w:rPr>
                <w:rFonts w:cstheme="minorHAnsi"/>
                <w:szCs w:val="22"/>
              </w:rPr>
              <w:t xml:space="preserve">Za osoby z niepełnosprawnościami uznaje się osoby niepełnosprawne w świetle przepisów ustawy </w:t>
            </w:r>
            <w:r w:rsidRPr="00423B01">
              <w:rPr>
                <w:rFonts w:cstheme="minorHAnsi"/>
                <w:szCs w:val="22"/>
              </w:rPr>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r w:rsidRPr="00423B01">
              <w:rPr>
                <w:rFonts w:cstheme="minorHAnsi"/>
                <w:szCs w:val="22"/>
              </w:rPr>
              <w:br/>
              <w:t>Przynależność do grupy osób z niepełnosprawnościami określana jest w momencie rozpoczęcia udziału w projekcie, tj. w chwili rozpoczęcia udziału w pierwszej formie wsparcia w projekcie.</w:t>
            </w:r>
          </w:p>
        </w:tc>
      </w:tr>
      <w:tr w:rsidR="00423B01" w:rsidRPr="00DA0301" w14:paraId="476DA932" w14:textId="77777777" w:rsidTr="00EC2781">
        <w:tc>
          <w:tcPr>
            <w:tcW w:w="486" w:type="dxa"/>
          </w:tcPr>
          <w:p w14:paraId="628694FB" w14:textId="0DF38C9A" w:rsidR="00423B01" w:rsidRPr="00423B01" w:rsidRDefault="00423B01" w:rsidP="00E96A7B">
            <w:pPr>
              <w:spacing w:before="0" w:after="120"/>
              <w:contextualSpacing/>
              <w:rPr>
                <w:rFonts w:cstheme="minorHAnsi"/>
                <w:szCs w:val="22"/>
              </w:rPr>
            </w:pPr>
            <w:r w:rsidRPr="00423B01">
              <w:rPr>
                <w:rFonts w:cstheme="minorHAnsi"/>
                <w:szCs w:val="22"/>
              </w:rPr>
              <w:lastRenderedPageBreak/>
              <w:t>8</w:t>
            </w:r>
          </w:p>
        </w:tc>
        <w:tc>
          <w:tcPr>
            <w:tcW w:w="1498" w:type="dxa"/>
          </w:tcPr>
          <w:p w14:paraId="600E406B" w14:textId="7F26C1CA" w:rsidR="00423B01" w:rsidRPr="00423B01" w:rsidRDefault="00423B01" w:rsidP="00E96A7B">
            <w:pPr>
              <w:spacing w:before="0" w:after="120"/>
              <w:contextualSpacing/>
              <w:rPr>
                <w:rFonts w:cstheme="minorHAnsi"/>
                <w:szCs w:val="22"/>
              </w:rPr>
            </w:pPr>
            <w:r w:rsidRPr="00423B01">
              <w:rPr>
                <w:rFonts w:cstheme="minorHAnsi"/>
                <w:szCs w:val="22"/>
              </w:rPr>
              <w:t>EECO13</w:t>
            </w:r>
          </w:p>
        </w:tc>
        <w:tc>
          <w:tcPr>
            <w:tcW w:w="2457" w:type="dxa"/>
          </w:tcPr>
          <w:p w14:paraId="1DCA2902" w14:textId="54D35F62" w:rsidR="00423B01" w:rsidRPr="00423B01" w:rsidRDefault="00423B01" w:rsidP="00E96A7B">
            <w:pPr>
              <w:spacing w:before="0"/>
              <w:contextualSpacing/>
              <w:rPr>
                <w:rFonts w:cstheme="minorHAnsi"/>
                <w:szCs w:val="22"/>
              </w:rPr>
            </w:pPr>
            <w:r w:rsidRPr="00423B01">
              <w:rPr>
                <w:rFonts w:cstheme="minorHAnsi"/>
                <w:szCs w:val="22"/>
              </w:rPr>
              <w:t>Liczba osób z krajów trzecich objętych wsparciem w programie (osoby)</w:t>
            </w:r>
          </w:p>
        </w:tc>
        <w:tc>
          <w:tcPr>
            <w:tcW w:w="9309" w:type="dxa"/>
          </w:tcPr>
          <w:p w14:paraId="122E40FE"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Osoby, które są obywatelami krajów spoza UE. Do wskaźnika wlicza się też bezpaństwowców zgodnie z Konwencją o statusie bezpaństwowców z 1954 r. i osoby bez ustalonego obywatelstwa. </w:t>
            </w:r>
          </w:p>
          <w:p w14:paraId="60841D87" w14:textId="13801835" w:rsidR="00423B01" w:rsidRPr="00423B01" w:rsidRDefault="00423B01" w:rsidP="00E96A7B">
            <w:pPr>
              <w:spacing w:before="0" w:after="120"/>
              <w:rPr>
                <w:rFonts w:cstheme="minorHAnsi"/>
                <w:szCs w:val="22"/>
              </w:rPr>
            </w:pPr>
            <w:r w:rsidRPr="00423B01">
              <w:rPr>
                <w:rFonts w:cstheme="minorHAnsi"/>
                <w:szCs w:val="22"/>
              </w:rPr>
              <w:t xml:space="preserve">Przynależność do grupy osób z krajów trzecich określana jest w momencie rozpoczęcia udziału </w:t>
            </w:r>
            <w:r w:rsidRPr="00423B01">
              <w:rPr>
                <w:rFonts w:cstheme="minorHAnsi"/>
                <w:szCs w:val="22"/>
              </w:rPr>
              <w:br/>
              <w:t>w projekcie, tj. w chwili rozpoczęcia udziału w pierwszej formie wsparcia w projekcie.</w:t>
            </w:r>
          </w:p>
        </w:tc>
      </w:tr>
      <w:tr w:rsidR="00423B01" w:rsidRPr="00DA0301" w14:paraId="2F436556" w14:textId="77777777" w:rsidTr="00EC2781">
        <w:tc>
          <w:tcPr>
            <w:tcW w:w="486" w:type="dxa"/>
          </w:tcPr>
          <w:p w14:paraId="311E7A71" w14:textId="4D732AC6" w:rsidR="00423B01" w:rsidRPr="00423B01" w:rsidRDefault="00423B01" w:rsidP="00E96A7B">
            <w:pPr>
              <w:spacing w:before="0" w:after="120"/>
              <w:contextualSpacing/>
              <w:rPr>
                <w:rFonts w:cstheme="minorHAnsi"/>
                <w:szCs w:val="22"/>
              </w:rPr>
            </w:pPr>
            <w:r w:rsidRPr="00423B01">
              <w:rPr>
                <w:rFonts w:cstheme="minorHAnsi"/>
                <w:szCs w:val="22"/>
              </w:rPr>
              <w:t>9</w:t>
            </w:r>
          </w:p>
        </w:tc>
        <w:tc>
          <w:tcPr>
            <w:tcW w:w="1498" w:type="dxa"/>
          </w:tcPr>
          <w:p w14:paraId="794C103F" w14:textId="76DF4A2E" w:rsidR="00423B01" w:rsidRPr="00423B01" w:rsidRDefault="00423B01" w:rsidP="00E96A7B">
            <w:pPr>
              <w:spacing w:before="0" w:after="120"/>
              <w:contextualSpacing/>
              <w:rPr>
                <w:rFonts w:cstheme="minorHAnsi"/>
                <w:szCs w:val="22"/>
              </w:rPr>
            </w:pPr>
            <w:r w:rsidRPr="00423B01">
              <w:rPr>
                <w:rFonts w:cstheme="minorHAnsi"/>
                <w:szCs w:val="22"/>
              </w:rPr>
              <w:t>EECO14</w:t>
            </w:r>
          </w:p>
        </w:tc>
        <w:tc>
          <w:tcPr>
            <w:tcW w:w="2457" w:type="dxa"/>
          </w:tcPr>
          <w:p w14:paraId="761840DC" w14:textId="4A40503D" w:rsidR="00423B01" w:rsidRPr="00423B01" w:rsidRDefault="00423B01" w:rsidP="00E96A7B">
            <w:pPr>
              <w:spacing w:before="0"/>
              <w:contextualSpacing/>
              <w:rPr>
                <w:rFonts w:cstheme="minorHAnsi"/>
                <w:szCs w:val="22"/>
              </w:rPr>
            </w:pPr>
            <w:r w:rsidRPr="00423B01">
              <w:rPr>
                <w:rFonts w:cstheme="minorHAnsi"/>
                <w:szCs w:val="22"/>
              </w:rPr>
              <w:t>Liczba osób obcego pochodzenia objętych wsparciem w programie (osoby)</w:t>
            </w:r>
          </w:p>
        </w:tc>
        <w:tc>
          <w:tcPr>
            <w:tcW w:w="9309" w:type="dxa"/>
          </w:tcPr>
          <w:p w14:paraId="2BD178BF"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Osoby obcego pochodzenia to cudzoziemcy - każda osoba, która nie posiada polskiego obywatelstwa, bez względu na fakt posiadania lub nie obywatelstwa (obywatelstw) innych krajów. </w:t>
            </w:r>
          </w:p>
          <w:p w14:paraId="1E11F14F" w14:textId="77777777" w:rsidR="00423B01" w:rsidRPr="00423B01" w:rsidRDefault="00423B01" w:rsidP="00E96A7B">
            <w:pPr>
              <w:spacing w:beforeAutospacing="1" w:after="100" w:afterAutospacing="1"/>
              <w:rPr>
                <w:rFonts w:cstheme="minorHAnsi"/>
                <w:szCs w:val="22"/>
              </w:rPr>
            </w:pPr>
            <w:r w:rsidRPr="00423B01">
              <w:rPr>
                <w:rFonts w:cstheme="minorHAnsi"/>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316326D6"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Przynależność do grupy osób obcego pochodzenia określana jest w momencie rozpoczęcia udziału </w:t>
            </w:r>
            <w:r w:rsidRPr="00423B01">
              <w:rPr>
                <w:rFonts w:cstheme="minorHAnsi"/>
                <w:szCs w:val="22"/>
              </w:rPr>
              <w:br/>
              <w:t>w projekcie, tj. w chwili rozpoczęcia udziału w pierwszej formie wsparcia w projekcie.</w:t>
            </w:r>
          </w:p>
          <w:p w14:paraId="1B7D416B" w14:textId="43D5AFFE" w:rsidR="00423B01" w:rsidRPr="00423B01" w:rsidRDefault="00423B01" w:rsidP="00E96A7B">
            <w:pPr>
              <w:spacing w:before="0" w:after="120"/>
              <w:rPr>
                <w:rFonts w:cstheme="minorHAnsi"/>
                <w:szCs w:val="22"/>
              </w:rPr>
            </w:pPr>
            <w:r w:rsidRPr="00423B01">
              <w:rPr>
                <w:rFonts w:cstheme="minorHAnsi"/>
                <w:szCs w:val="22"/>
              </w:rPr>
              <w:t>Informacje dodatkowe: Wskaźnik będzie obejmował zawsze osoby z krajów trzecich, zliczane we wskaźniku EECO13: liczba osób z krajów trzecich objętych wsparciem w programie.</w:t>
            </w:r>
          </w:p>
        </w:tc>
      </w:tr>
      <w:tr w:rsidR="00423B01" w:rsidRPr="00DA0301" w14:paraId="72E5DE55" w14:textId="77777777" w:rsidTr="00EC2781">
        <w:tc>
          <w:tcPr>
            <w:tcW w:w="486" w:type="dxa"/>
          </w:tcPr>
          <w:p w14:paraId="5500C53F" w14:textId="1E9C51DC" w:rsidR="00423B01" w:rsidRPr="00423B01" w:rsidRDefault="00423B01" w:rsidP="00E96A7B">
            <w:pPr>
              <w:spacing w:before="0" w:after="120"/>
              <w:contextualSpacing/>
              <w:rPr>
                <w:rFonts w:cstheme="minorHAnsi"/>
                <w:szCs w:val="22"/>
              </w:rPr>
            </w:pPr>
            <w:r w:rsidRPr="00423B01">
              <w:rPr>
                <w:rFonts w:cstheme="minorHAnsi"/>
                <w:szCs w:val="22"/>
              </w:rPr>
              <w:t>10</w:t>
            </w:r>
          </w:p>
        </w:tc>
        <w:tc>
          <w:tcPr>
            <w:tcW w:w="1498" w:type="dxa"/>
          </w:tcPr>
          <w:p w14:paraId="199BD2D0" w14:textId="2432F4FC" w:rsidR="00423B01" w:rsidRPr="00423B01" w:rsidRDefault="00423B01" w:rsidP="00E96A7B">
            <w:pPr>
              <w:spacing w:before="0" w:after="120"/>
              <w:contextualSpacing/>
              <w:rPr>
                <w:rFonts w:cstheme="minorHAnsi"/>
                <w:szCs w:val="22"/>
              </w:rPr>
            </w:pPr>
            <w:r w:rsidRPr="00423B01">
              <w:rPr>
                <w:rFonts w:cstheme="minorHAnsi"/>
                <w:szCs w:val="22"/>
              </w:rPr>
              <w:t>EECO15</w:t>
            </w:r>
          </w:p>
        </w:tc>
        <w:tc>
          <w:tcPr>
            <w:tcW w:w="2457" w:type="dxa"/>
          </w:tcPr>
          <w:p w14:paraId="09F32FA3" w14:textId="11D0743B" w:rsidR="00423B01" w:rsidRPr="00423B01" w:rsidRDefault="00423B01" w:rsidP="00E96A7B">
            <w:pPr>
              <w:spacing w:before="0"/>
              <w:contextualSpacing/>
              <w:rPr>
                <w:rFonts w:cstheme="minorHAnsi"/>
                <w:szCs w:val="22"/>
              </w:rPr>
            </w:pPr>
            <w:r w:rsidRPr="00423B01">
              <w:rPr>
                <w:rFonts w:cstheme="minorHAnsi"/>
                <w:szCs w:val="22"/>
              </w:rPr>
              <w:t xml:space="preserve">Liczba osób należących do mniejszości, </w:t>
            </w:r>
            <w:r w:rsidRPr="00423B01">
              <w:rPr>
                <w:rFonts w:cstheme="minorHAnsi"/>
                <w:szCs w:val="22"/>
              </w:rPr>
              <w:br/>
              <w:t xml:space="preserve">w tym społeczności marginalizowanych takich jak Romowie, objętych wsparciem </w:t>
            </w:r>
            <w:r w:rsidRPr="00423B01">
              <w:rPr>
                <w:rFonts w:cstheme="minorHAnsi"/>
                <w:szCs w:val="22"/>
              </w:rPr>
              <w:br/>
              <w:t>w programie (osoby)</w:t>
            </w:r>
          </w:p>
        </w:tc>
        <w:tc>
          <w:tcPr>
            <w:tcW w:w="9309" w:type="dxa"/>
          </w:tcPr>
          <w:p w14:paraId="15CA8FEB"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Wskaźnik obejmuje osoby należące do mniejszości narodowych i etnicznych biorące udział </w:t>
            </w:r>
            <w:r w:rsidRPr="00423B01">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16FFEDBC" w14:textId="77777777" w:rsidR="00423B01" w:rsidRPr="00423B01" w:rsidRDefault="00423B01" w:rsidP="00E96A7B">
            <w:pPr>
              <w:spacing w:beforeAutospacing="1" w:after="100" w:afterAutospacing="1"/>
              <w:rPr>
                <w:rFonts w:cstheme="minorHAnsi"/>
                <w:szCs w:val="22"/>
              </w:rPr>
            </w:pPr>
            <w:r w:rsidRPr="00423B01">
              <w:rPr>
                <w:rFonts w:cstheme="minorHAnsi"/>
                <w:szCs w:val="22"/>
              </w:rPr>
              <w:t xml:space="preserve">Definicja opracowana na podstawie ustawy z dnia 6 stycznia 2005 r. o mniejszościach narodowych </w:t>
            </w:r>
            <w:r w:rsidRPr="00423B01">
              <w:rPr>
                <w:rFonts w:cstheme="minorHAnsi"/>
                <w:szCs w:val="22"/>
              </w:rPr>
              <w:br/>
              <w:t>i etnicznych oraz o języku regionalnym.</w:t>
            </w:r>
          </w:p>
          <w:p w14:paraId="6D766AA3" w14:textId="73500415" w:rsidR="00423B01" w:rsidRPr="00423B01" w:rsidRDefault="00423B01" w:rsidP="00E96A7B">
            <w:pPr>
              <w:spacing w:before="0" w:after="120"/>
              <w:rPr>
                <w:rFonts w:cstheme="minorHAnsi"/>
                <w:szCs w:val="22"/>
              </w:rPr>
            </w:pPr>
            <w:r w:rsidRPr="00423B01">
              <w:rPr>
                <w:rFonts w:cstheme="minorHAnsi"/>
                <w:szCs w:val="22"/>
              </w:rPr>
              <w:t>Przynależność do grupy osób należących do mniejszości określana jest w momencie rozpoczęcia udziału w projekcie, tj. w chwili rozpoczęcia udziału w pierwszej formie wsparcia w projekcie.</w:t>
            </w:r>
          </w:p>
        </w:tc>
      </w:tr>
      <w:tr w:rsidR="00423B01" w:rsidRPr="00DA0301" w14:paraId="113DA0F6" w14:textId="77777777" w:rsidTr="00EC2781">
        <w:tc>
          <w:tcPr>
            <w:tcW w:w="486" w:type="dxa"/>
          </w:tcPr>
          <w:p w14:paraId="778F4B1A" w14:textId="6F8B83E6" w:rsidR="00423B01" w:rsidRPr="00423B01" w:rsidRDefault="00423B01" w:rsidP="00E96A7B">
            <w:pPr>
              <w:spacing w:before="0" w:after="120"/>
              <w:contextualSpacing/>
              <w:rPr>
                <w:rFonts w:cstheme="minorHAnsi"/>
                <w:szCs w:val="22"/>
              </w:rPr>
            </w:pPr>
            <w:r w:rsidRPr="00423B01">
              <w:rPr>
                <w:rFonts w:cstheme="minorHAnsi"/>
                <w:szCs w:val="22"/>
              </w:rPr>
              <w:t>11</w:t>
            </w:r>
          </w:p>
        </w:tc>
        <w:tc>
          <w:tcPr>
            <w:tcW w:w="1498" w:type="dxa"/>
          </w:tcPr>
          <w:p w14:paraId="4F4117C2" w14:textId="549B84F4" w:rsidR="00423B01" w:rsidRPr="00423B01" w:rsidRDefault="00423B01" w:rsidP="00E96A7B">
            <w:pPr>
              <w:spacing w:before="0" w:after="120"/>
              <w:contextualSpacing/>
              <w:rPr>
                <w:rFonts w:cstheme="minorHAnsi"/>
                <w:b/>
                <w:szCs w:val="22"/>
              </w:rPr>
            </w:pPr>
            <w:r w:rsidRPr="00423B01">
              <w:rPr>
                <w:rFonts w:cstheme="minorHAnsi"/>
                <w:szCs w:val="22"/>
              </w:rPr>
              <w:t>EECO16</w:t>
            </w:r>
          </w:p>
        </w:tc>
        <w:tc>
          <w:tcPr>
            <w:tcW w:w="2457" w:type="dxa"/>
          </w:tcPr>
          <w:p w14:paraId="0F395C4C" w14:textId="0F7F6247" w:rsidR="00423B01" w:rsidRPr="00423B01" w:rsidRDefault="00423B01" w:rsidP="00E96A7B">
            <w:pPr>
              <w:spacing w:before="0"/>
              <w:contextualSpacing/>
              <w:rPr>
                <w:rFonts w:cstheme="minorHAnsi"/>
                <w:b/>
                <w:szCs w:val="22"/>
              </w:rPr>
            </w:pPr>
            <w:r w:rsidRPr="00423B01">
              <w:rPr>
                <w:rFonts w:cstheme="minorHAnsi"/>
                <w:szCs w:val="22"/>
              </w:rPr>
              <w:t xml:space="preserve">Liczba osób w kryzysie bezdomności lub dotkniętych </w:t>
            </w:r>
            <w:r w:rsidRPr="00423B01">
              <w:rPr>
                <w:rFonts w:cstheme="minorHAnsi"/>
                <w:szCs w:val="22"/>
              </w:rPr>
              <w:lastRenderedPageBreak/>
              <w:t>wykluczeniem z dostępu do mieszkań, objętych wsparciem w programie (osoby)</w:t>
            </w:r>
          </w:p>
        </w:tc>
        <w:tc>
          <w:tcPr>
            <w:tcW w:w="9309" w:type="dxa"/>
          </w:tcPr>
          <w:p w14:paraId="3DF67472" w14:textId="77777777" w:rsidR="00423B01" w:rsidRPr="00423B01" w:rsidRDefault="00423B01" w:rsidP="00E96A7B">
            <w:pPr>
              <w:spacing w:beforeAutospacing="1" w:after="100" w:afterAutospacing="1"/>
              <w:rPr>
                <w:rFonts w:cstheme="minorHAnsi"/>
                <w:szCs w:val="22"/>
              </w:rPr>
            </w:pPr>
            <w:r w:rsidRPr="00423B01">
              <w:rPr>
                <w:rFonts w:cstheme="minorHAnsi"/>
                <w:szCs w:val="22"/>
              </w:rPr>
              <w:lastRenderedPageBreak/>
              <w:t>We wskaźniku wykazywane są osoby w kryzysie bezdomności lub dotknięte wykluczeniem z dostępu do mieszkań.</w:t>
            </w:r>
          </w:p>
          <w:p w14:paraId="32DE0FF5" w14:textId="77777777" w:rsidR="00423B01" w:rsidRPr="00423B01" w:rsidRDefault="00423B01" w:rsidP="00E96A7B">
            <w:pPr>
              <w:spacing w:beforeAutospacing="1" w:after="100" w:afterAutospacing="1"/>
              <w:rPr>
                <w:rFonts w:cstheme="minorHAnsi"/>
                <w:szCs w:val="22"/>
              </w:rPr>
            </w:pPr>
            <w:r w:rsidRPr="00423B01">
              <w:rPr>
                <w:rFonts w:cstheme="minorHAnsi"/>
                <w:szCs w:val="22"/>
              </w:rPr>
              <w:lastRenderedPageBreak/>
              <w:t xml:space="preserve">Bezdomność i wykluczenie mieszkaniowe definiowane są zgodnie z Europejską typologią bezdomności i wykluczenia mieszkaniowego ETHOS, w której wskazuje się okoliczności życia </w:t>
            </w:r>
            <w:r w:rsidRPr="00423B01">
              <w:rPr>
                <w:rFonts w:cstheme="minorHAnsi"/>
                <w:szCs w:val="22"/>
              </w:rPr>
              <w:br/>
              <w:t xml:space="preserve">w bezdomności lub ekstremalne formy wykluczenia mieszkaniowego oraz ustawą z dnia 12 marca 2004 r.  o pomocy społecznej: </w:t>
            </w:r>
          </w:p>
          <w:p w14:paraId="0C16FBFB" w14:textId="77777777" w:rsidR="00423B01" w:rsidRPr="00423B01" w:rsidRDefault="00423B01" w:rsidP="00E96A7B">
            <w:pPr>
              <w:numPr>
                <w:ilvl w:val="0"/>
                <w:numId w:val="49"/>
              </w:numPr>
              <w:spacing w:beforeAutospacing="1" w:after="100" w:afterAutospacing="1"/>
              <w:ind w:left="462"/>
              <w:contextualSpacing/>
              <w:rPr>
                <w:rFonts w:cstheme="minorHAnsi"/>
                <w:szCs w:val="22"/>
              </w:rPr>
            </w:pPr>
            <w:r w:rsidRPr="00423B01">
              <w:rPr>
                <w:rFonts w:cstheme="minorHAnsi"/>
                <w:szCs w:val="22"/>
              </w:rPr>
              <w:t>Bez dachu nad głową, w tym osoby żyjące w przestrzeni publicznej lub zakwaterowane interwencyjnie;</w:t>
            </w:r>
          </w:p>
          <w:p w14:paraId="68CD74B8" w14:textId="77777777" w:rsidR="00423B01" w:rsidRPr="00423B01" w:rsidRDefault="00423B01" w:rsidP="00E96A7B">
            <w:pPr>
              <w:numPr>
                <w:ilvl w:val="0"/>
                <w:numId w:val="49"/>
              </w:numPr>
              <w:spacing w:beforeAutospacing="1" w:after="100" w:afterAutospacing="1"/>
              <w:ind w:left="462"/>
              <w:contextualSpacing/>
              <w:rPr>
                <w:rFonts w:cstheme="minorHAnsi"/>
                <w:szCs w:val="22"/>
              </w:rPr>
            </w:pPr>
            <w:r w:rsidRPr="00423B01">
              <w:rPr>
                <w:rFonts w:cstheme="minorHAnsi"/>
                <w:szCs w:val="22"/>
              </w:rP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2D039AF3" w14:textId="77777777" w:rsidR="00423B01" w:rsidRPr="00423B01" w:rsidRDefault="00423B01" w:rsidP="00E96A7B">
            <w:pPr>
              <w:numPr>
                <w:ilvl w:val="0"/>
                <w:numId w:val="49"/>
              </w:numPr>
              <w:spacing w:beforeAutospacing="1" w:after="100" w:afterAutospacing="1"/>
              <w:ind w:left="462"/>
              <w:contextualSpacing/>
              <w:rPr>
                <w:rFonts w:cstheme="minorHAnsi"/>
                <w:szCs w:val="22"/>
              </w:rPr>
            </w:pPr>
            <w:r w:rsidRPr="00423B01">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E5C2986" w14:textId="77777777" w:rsidR="00423B01" w:rsidRPr="00423B01" w:rsidRDefault="00423B01" w:rsidP="00E96A7B">
            <w:pPr>
              <w:numPr>
                <w:ilvl w:val="0"/>
                <w:numId w:val="49"/>
              </w:numPr>
              <w:spacing w:beforeAutospacing="1" w:after="100" w:afterAutospacing="1"/>
              <w:ind w:left="462"/>
              <w:contextualSpacing/>
              <w:rPr>
                <w:rFonts w:cstheme="minorHAnsi"/>
                <w:szCs w:val="22"/>
              </w:rPr>
            </w:pPr>
            <w:r w:rsidRPr="00423B01">
              <w:rPr>
                <w:rFonts w:cstheme="minorHAnsi"/>
                <w:szCs w:val="22"/>
              </w:rPr>
              <w:t xml:space="preserve">Nieodpowiednie warunki mieszkaniowe, w tym osoby zamieszkujące konstrukcje tymczasowe/nietrwałe, mieszkania </w:t>
            </w:r>
            <w:proofErr w:type="spellStart"/>
            <w:r w:rsidRPr="00423B01">
              <w:rPr>
                <w:rFonts w:cstheme="minorHAnsi"/>
                <w:szCs w:val="22"/>
              </w:rPr>
              <w:t>substandardowe</w:t>
            </w:r>
            <w:proofErr w:type="spellEnd"/>
            <w:r w:rsidRPr="00423B01">
              <w:rPr>
                <w:rFonts w:cstheme="minorHAnsi"/>
                <w:szCs w:val="22"/>
              </w:rPr>
              <w:t xml:space="preserve"> - lokale nienadające się do zamieszkania wg standardu krajowego, w warunkach skrajnego przeludnienia;</w:t>
            </w:r>
          </w:p>
          <w:p w14:paraId="30B2044C" w14:textId="77777777" w:rsidR="00423B01" w:rsidRPr="00423B01" w:rsidRDefault="00423B01" w:rsidP="00E96A7B">
            <w:pPr>
              <w:numPr>
                <w:ilvl w:val="0"/>
                <w:numId w:val="49"/>
              </w:numPr>
              <w:spacing w:beforeAutospacing="1" w:after="100" w:afterAutospacing="1"/>
              <w:ind w:left="462"/>
              <w:contextualSpacing/>
              <w:rPr>
                <w:rFonts w:cstheme="minorHAnsi"/>
                <w:szCs w:val="22"/>
              </w:rPr>
            </w:pPr>
            <w:r w:rsidRPr="00423B01">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Pr="00423B01">
              <w:rPr>
                <w:rFonts w:cstheme="minorHAnsi"/>
                <w:szCs w:val="22"/>
              </w:rPr>
              <w:br/>
              <w:t>i zameldowaną na pobyt stały w lokalu, w którym nie ma możliwości zamieszkania.</w:t>
            </w:r>
          </w:p>
          <w:p w14:paraId="385BB2F3" w14:textId="77777777" w:rsidR="00423B01" w:rsidRPr="00423B01" w:rsidRDefault="00423B01" w:rsidP="00E96A7B">
            <w:pPr>
              <w:spacing w:beforeAutospacing="1" w:after="100" w:afterAutospacing="1"/>
              <w:rPr>
                <w:rFonts w:cstheme="minorHAnsi"/>
                <w:szCs w:val="22"/>
              </w:rPr>
            </w:pPr>
            <w:r w:rsidRPr="00423B01">
              <w:rPr>
                <w:rFonts w:cstheme="minorHAnsi"/>
                <w:szCs w:val="22"/>
              </w:rPr>
              <w:t>Osoby dorosłe mieszkające z rodzicami nie powinny być wykazywane we wskaźniku, chyba że wszystkie te osoby są w kryzysie bezdomności lub mieszkają w nieodpowiednich i niebezpiecznych warunkach.</w:t>
            </w:r>
          </w:p>
          <w:p w14:paraId="7AE729DB" w14:textId="30ECD7DD" w:rsidR="00423B01" w:rsidRPr="00423B01" w:rsidRDefault="00423B01" w:rsidP="00E96A7B">
            <w:pPr>
              <w:spacing w:before="0" w:after="120"/>
              <w:rPr>
                <w:rFonts w:cstheme="minorHAnsi"/>
                <w:szCs w:val="22"/>
              </w:rPr>
            </w:pPr>
            <w:r w:rsidRPr="00423B01">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bl>
    <w:p w14:paraId="02D761FC" w14:textId="77777777" w:rsidR="00622E9C" w:rsidRDefault="00622E9C" w:rsidP="00E96A7B">
      <w:pPr>
        <w:spacing w:line="240" w:lineRule="auto"/>
      </w:pPr>
      <w:r>
        <w:lastRenderedPageBreak/>
        <w:br w:type="page"/>
      </w:r>
    </w:p>
    <w:p w14:paraId="6087EC90" w14:textId="12A51B48" w:rsidR="00E122C6" w:rsidRPr="00FA4BDA" w:rsidRDefault="00262E9A" w:rsidP="00E96A7B">
      <w:pPr>
        <w:pStyle w:val="Akapitzlist"/>
        <w:numPr>
          <w:ilvl w:val="0"/>
          <w:numId w:val="27"/>
        </w:numPr>
        <w:spacing w:before="240" w:after="240" w:line="240" w:lineRule="auto"/>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E96A7B">
            <w:pPr>
              <w:pStyle w:val="Akapitzlist"/>
              <w:spacing w:before="0" w:after="120"/>
              <w:ind w:left="0"/>
              <w:contextualSpacing w:val="0"/>
              <w:rPr>
                <w:b/>
              </w:rPr>
            </w:pPr>
            <w:r>
              <w:rPr>
                <w:b/>
              </w:rPr>
              <w:t>Lp.</w:t>
            </w:r>
          </w:p>
        </w:tc>
        <w:tc>
          <w:tcPr>
            <w:tcW w:w="1214" w:type="dxa"/>
            <w:vAlign w:val="center"/>
          </w:tcPr>
          <w:p w14:paraId="2635DB5A" w14:textId="77777777" w:rsidR="00954891" w:rsidRPr="00BC169B" w:rsidRDefault="00954891" w:rsidP="00E96A7B">
            <w:pPr>
              <w:pStyle w:val="Akapitzlist"/>
              <w:spacing w:before="0" w:after="120"/>
              <w:ind w:left="0"/>
              <w:contextualSpacing w:val="0"/>
              <w:rPr>
                <w:b/>
              </w:rPr>
            </w:pPr>
            <w:r w:rsidRPr="00BC169B">
              <w:rPr>
                <w:b/>
              </w:rPr>
              <w:t>Kod wskaźnika</w:t>
            </w:r>
          </w:p>
        </w:tc>
        <w:tc>
          <w:tcPr>
            <w:tcW w:w="2694" w:type="dxa"/>
            <w:vAlign w:val="center"/>
          </w:tcPr>
          <w:p w14:paraId="7B2CD0B3" w14:textId="77777777" w:rsidR="00954891" w:rsidRPr="00BC169B" w:rsidRDefault="00954891" w:rsidP="00E96A7B">
            <w:pPr>
              <w:pStyle w:val="Akapitzlist"/>
              <w:spacing w:before="0" w:after="120"/>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E96A7B">
            <w:pPr>
              <w:pStyle w:val="Akapitzlist"/>
              <w:spacing w:before="0" w:after="120"/>
              <w:ind w:left="0"/>
              <w:contextualSpacing w:val="0"/>
              <w:rPr>
                <w:b/>
              </w:rPr>
            </w:pPr>
            <w:r w:rsidRPr="00BC169B">
              <w:rPr>
                <w:b/>
              </w:rPr>
              <w:t>Definicja operacyjna/kontekst prawny</w:t>
            </w:r>
          </w:p>
        </w:tc>
      </w:tr>
      <w:tr w:rsidR="009C40B8" w:rsidRPr="00454206" w14:paraId="4ACCB9B5" w14:textId="77777777" w:rsidTr="00F81BD7">
        <w:tc>
          <w:tcPr>
            <w:tcW w:w="487" w:type="dxa"/>
          </w:tcPr>
          <w:p w14:paraId="739EF8F3" w14:textId="11A2EF1B" w:rsidR="009C40B8" w:rsidRPr="00C84783" w:rsidRDefault="009C40B8" w:rsidP="00E96A7B">
            <w:pPr>
              <w:pStyle w:val="Akapitzlist"/>
              <w:spacing w:before="0" w:after="120"/>
              <w:ind w:left="0"/>
              <w:contextualSpacing w:val="0"/>
            </w:pPr>
            <w:r>
              <w:t>1</w:t>
            </w:r>
          </w:p>
        </w:tc>
        <w:tc>
          <w:tcPr>
            <w:tcW w:w="1214" w:type="dxa"/>
          </w:tcPr>
          <w:p w14:paraId="34C18853" w14:textId="15E40BF3" w:rsidR="009C40B8" w:rsidRPr="005A4B5D" w:rsidRDefault="009C40B8" w:rsidP="00E96A7B">
            <w:pPr>
              <w:pStyle w:val="Akapitzlist"/>
              <w:spacing w:before="0" w:after="120"/>
              <w:ind w:left="0"/>
              <w:contextualSpacing w:val="0"/>
              <w:rPr>
                <w:rFonts w:cstheme="minorHAnsi"/>
                <w:szCs w:val="22"/>
              </w:rPr>
            </w:pPr>
            <w:r w:rsidRPr="008D741A">
              <w:t>PL</w:t>
            </w:r>
            <w:r>
              <w:t>C</w:t>
            </w:r>
            <w:r w:rsidRPr="008D741A">
              <w:t>CR0</w:t>
            </w:r>
            <w:r>
              <w:t>1</w:t>
            </w:r>
          </w:p>
        </w:tc>
        <w:tc>
          <w:tcPr>
            <w:tcW w:w="2694" w:type="dxa"/>
          </w:tcPr>
          <w:p w14:paraId="7F97B057" w14:textId="31B2A85F" w:rsidR="009C40B8" w:rsidRPr="005A4B5D" w:rsidRDefault="009C40B8" w:rsidP="00E96A7B">
            <w:pPr>
              <w:pStyle w:val="Akapitzlist"/>
              <w:spacing w:before="0"/>
              <w:ind w:left="0"/>
              <w:contextualSpacing w:val="0"/>
              <w:rPr>
                <w:rFonts w:cstheme="minorHAnsi"/>
                <w:szCs w:val="22"/>
              </w:rPr>
            </w:pPr>
            <w:r w:rsidRPr="002C5E22">
              <w:rPr>
                <w:rFonts w:eastAsia="Times New Roman" w:cstheme="minorHAnsi"/>
                <w:szCs w:val="22"/>
                <w:lang w:eastAsia="pl-PL"/>
              </w:rPr>
              <w:t xml:space="preserve">Liczba osób, które podniosły poziom wiedzy </w:t>
            </w:r>
            <w:r>
              <w:rPr>
                <w:rFonts w:eastAsia="Times New Roman" w:cstheme="minorHAnsi"/>
                <w:szCs w:val="22"/>
                <w:lang w:eastAsia="pl-PL"/>
              </w:rPr>
              <w:br/>
            </w:r>
            <w:r w:rsidRPr="002C5E22">
              <w:rPr>
                <w:rFonts w:eastAsia="Times New Roman" w:cstheme="minorHAnsi"/>
                <w:szCs w:val="22"/>
                <w:lang w:eastAsia="pl-PL"/>
              </w:rPr>
              <w:t xml:space="preserve">w zakresie równości kobiet </w:t>
            </w:r>
            <w:r w:rsidRPr="002C5E22">
              <w:rPr>
                <w:rFonts w:eastAsia="Times New Roman" w:cstheme="minorHAnsi"/>
                <w:szCs w:val="22"/>
                <w:lang w:eastAsia="pl-PL"/>
              </w:rPr>
              <w:br/>
              <w:t>i mężczyzn dzięki wsparciu w programie (osoby)</w:t>
            </w:r>
          </w:p>
        </w:tc>
        <w:tc>
          <w:tcPr>
            <w:tcW w:w="9355" w:type="dxa"/>
          </w:tcPr>
          <w:p w14:paraId="1213688B" w14:textId="77777777" w:rsidR="009C40B8" w:rsidRPr="002C5E22" w:rsidRDefault="009C40B8" w:rsidP="00E96A7B">
            <w:pPr>
              <w:spacing w:beforeAutospacing="1" w:after="100" w:afterAutospacing="1"/>
              <w:jc w:val="both"/>
              <w:rPr>
                <w:rFonts w:eastAsia="Times New Roman" w:cstheme="minorHAnsi"/>
                <w:szCs w:val="22"/>
                <w:lang w:eastAsia="pl-PL"/>
              </w:rPr>
            </w:pPr>
            <w:r w:rsidRPr="004A6082">
              <w:rPr>
                <w:rFonts w:eastAsia="Times New Roman" w:cstheme="minorHAnsi"/>
                <w:szCs w:val="22"/>
                <w:lang w:eastAsia="pl-PL"/>
              </w:rPr>
              <w:t xml:space="preserve">Wskaźnik mierzy liczbę osób, </w:t>
            </w:r>
            <w:r w:rsidRPr="002C5E22">
              <w:rPr>
                <w:rFonts w:eastAsia="Times New Roman" w:cstheme="minorHAnsi"/>
                <w:szCs w:val="22"/>
                <w:lang w:eastAsia="pl-PL"/>
              </w:rPr>
              <w:t xml:space="preserve">które dzięki uczestnictwu w projekcie EFS+ podniosły poziom wiedzy </w:t>
            </w:r>
            <w:r>
              <w:rPr>
                <w:rFonts w:eastAsia="Times New Roman" w:cstheme="minorHAnsi"/>
                <w:szCs w:val="22"/>
                <w:lang w:eastAsia="pl-PL"/>
              </w:rPr>
              <w:br/>
            </w:r>
            <w:r w:rsidRPr="002C5E22">
              <w:rPr>
                <w:rFonts w:eastAsia="Times New Roman" w:cstheme="minorHAnsi"/>
                <w:szCs w:val="22"/>
                <w:lang w:eastAsia="pl-PL"/>
              </w:rPr>
              <w:t xml:space="preserve">w zakresie równości kobiet i mężczyzn. </w:t>
            </w:r>
          </w:p>
          <w:p w14:paraId="0D9E4DF4" w14:textId="77777777" w:rsidR="009C40B8" w:rsidRPr="002C5E22" w:rsidRDefault="009C40B8" w:rsidP="00E96A7B">
            <w:pPr>
              <w:spacing w:beforeAutospacing="1" w:after="100" w:afterAutospacing="1"/>
              <w:jc w:val="both"/>
              <w:rPr>
                <w:rFonts w:eastAsia="Times New Roman" w:cstheme="minorHAnsi"/>
                <w:szCs w:val="22"/>
                <w:lang w:eastAsia="pl-PL"/>
              </w:rPr>
            </w:pPr>
            <w:r w:rsidRPr="002C5E22">
              <w:rPr>
                <w:rFonts w:eastAsia="Times New Roman" w:cstheme="minorHAnsi"/>
                <w:szCs w:val="22"/>
                <w:lang w:eastAsia="pl-PL"/>
              </w:rPr>
              <w:t xml:space="preserve">Podniesienie poziomu wiedzy weryfikowane powinno być w szczególności poprzez odpowiedni test potwierdzający uzyskany zasób wiadomości. </w:t>
            </w:r>
          </w:p>
          <w:p w14:paraId="7954F1CA" w14:textId="0D2138A0" w:rsidR="009C40B8" w:rsidRPr="00E75AF3" w:rsidRDefault="009C40B8" w:rsidP="00E96A7B">
            <w:pPr>
              <w:spacing w:before="0" w:after="120"/>
              <w:rPr>
                <w:rFonts w:cstheme="minorHAnsi"/>
                <w:szCs w:val="22"/>
              </w:rPr>
            </w:pPr>
            <w:r w:rsidRPr="002C5E22">
              <w:rPr>
                <w:rFonts w:eastAsia="Times New Roman" w:cstheme="minorHAnsi"/>
                <w:szCs w:val="22"/>
                <w:lang w:eastAsia="pl-PL"/>
              </w:rPr>
              <w:t>Do wskaźnika należy wliczać jedynie osoby, które podniosły poziom wiedzy w zakresie równości kobiet i mężczyzn w trakcie lub bezpośrednio po zakończeniu udziału w projekcie, tj. w ciągu czterech tygodni, które minęły od momentu zakończenia udziału w projekcie.</w:t>
            </w:r>
          </w:p>
        </w:tc>
      </w:tr>
      <w:tr w:rsidR="009C40B8" w:rsidRPr="00454206" w14:paraId="1E4D6E0E" w14:textId="77777777" w:rsidTr="00F81BD7">
        <w:tc>
          <w:tcPr>
            <w:tcW w:w="487" w:type="dxa"/>
          </w:tcPr>
          <w:p w14:paraId="17DBFEA4" w14:textId="659B24E3" w:rsidR="009C40B8" w:rsidRDefault="00EC3A81" w:rsidP="00E96A7B">
            <w:pPr>
              <w:pStyle w:val="Akapitzlist"/>
              <w:spacing w:before="0" w:after="120"/>
              <w:ind w:left="0"/>
              <w:contextualSpacing w:val="0"/>
            </w:pPr>
            <w:r>
              <w:t>2</w:t>
            </w:r>
          </w:p>
        </w:tc>
        <w:tc>
          <w:tcPr>
            <w:tcW w:w="1214" w:type="dxa"/>
          </w:tcPr>
          <w:p w14:paraId="6DC4AB19" w14:textId="68AB2179" w:rsidR="009C40B8" w:rsidRPr="005A4B5D" w:rsidRDefault="009C40B8" w:rsidP="00E96A7B">
            <w:pPr>
              <w:pStyle w:val="Akapitzlist"/>
              <w:spacing w:before="0" w:after="120"/>
              <w:ind w:left="0"/>
              <w:contextualSpacing w:val="0"/>
              <w:rPr>
                <w:rFonts w:cstheme="minorHAnsi"/>
                <w:color w:val="000000"/>
                <w:szCs w:val="22"/>
              </w:rPr>
            </w:pPr>
            <w:r w:rsidRPr="002C5E22">
              <w:rPr>
                <w:rFonts w:eastAsia="Arial" w:cs="Arial"/>
                <w:szCs w:val="22"/>
              </w:rPr>
              <w:t>PLCCR02</w:t>
            </w:r>
          </w:p>
        </w:tc>
        <w:tc>
          <w:tcPr>
            <w:tcW w:w="2694" w:type="dxa"/>
          </w:tcPr>
          <w:p w14:paraId="2CE4CFE6" w14:textId="2DF222C6" w:rsidR="009C40B8" w:rsidRPr="005A4B5D" w:rsidRDefault="009C40B8" w:rsidP="00E96A7B">
            <w:pPr>
              <w:spacing w:before="0"/>
              <w:rPr>
                <w:rFonts w:cstheme="minorHAnsi"/>
                <w:color w:val="000000"/>
                <w:szCs w:val="22"/>
              </w:rPr>
            </w:pPr>
            <w:r w:rsidRPr="002C5E22">
              <w:rPr>
                <w:rFonts w:cs="Arial"/>
                <w:szCs w:val="22"/>
              </w:rPr>
              <w:t>Liczba osób znajdujących się w lepszej sytuacji na rynku pracy po opuszczeniu programu (osoby)</w:t>
            </w:r>
          </w:p>
        </w:tc>
        <w:tc>
          <w:tcPr>
            <w:tcW w:w="9355" w:type="dxa"/>
          </w:tcPr>
          <w:p w14:paraId="4E860154" w14:textId="77777777" w:rsidR="009C40B8" w:rsidRPr="00AD24A8" w:rsidRDefault="009C40B8" w:rsidP="00E96A7B">
            <w:pPr>
              <w:spacing w:after="100" w:afterAutospacing="1"/>
              <w:rPr>
                <w:szCs w:val="22"/>
              </w:rPr>
            </w:pPr>
            <w:r w:rsidRPr="00AD24A8">
              <w:rPr>
                <w:szCs w:val="22"/>
              </w:rPr>
              <w:t xml:space="preserve">We wskaźniku należy wykazać wszystkie osoby, których sytuacja na rynku pracy uległa poprawie </w:t>
            </w:r>
            <w:r w:rsidRPr="00AD24A8">
              <w:rPr>
                <w:szCs w:val="22"/>
              </w:rPr>
              <w:br/>
              <w:t>w wyniku udziału w projekcie w zakresie godzenia życia zawodowego z prywatnym.</w:t>
            </w:r>
          </w:p>
          <w:p w14:paraId="05EDDDFE" w14:textId="77777777" w:rsidR="009C40B8" w:rsidRPr="00AD24A8" w:rsidRDefault="009C40B8" w:rsidP="00E96A7B">
            <w:pPr>
              <w:spacing w:after="100" w:afterAutospacing="1"/>
              <w:rPr>
                <w:szCs w:val="22"/>
              </w:rPr>
            </w:pPr>
            <w:r w:rsidRPr="00AD24A8">
              <w:rPr>
                <w:szCs w:val="22"/>
              </w:rPr>
              <w:t>Poprzez poprawę sytuacji na rynku pracy należy rozumieć w szczególności: podjęcie pracy lub powrót na rynek pracy po przerwie związanej z urodzeniem/wychowaniem dziecka lub poprawę warunków pracy lub przejście z niepewnego do stabilnego zatrudnienia lub przejście 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116A1106" w14:textId="77777777" w:rsidR="009C40B8" w:rsidRPr="00AD24A8" w:rsidRDefault="009C40B8" w:rsidP="00E96A7B">
            <w:pPr>
              <w:spacing w:after="100" w:afterAutospacing="1"/>
              <w:rPr>
                <w:szCs w:val="22"/>
              </w:rPr>
            </w:pPr>
            <w:r w:rsidRPr="00AD24A8">
              <w:rPr>
                <w:szCs w:val="22"/>
              </w:rPr>
              <w:t>Wskaźnik ten należy rozumieć jako zmianę sytuacji na rynku pracy po opuszczeniu projektu w stosunku do sytuacji w momencie przystąpienia do projektu EFS+ lub poprawę warunków zatrudnienia w dotychczasowej pracy dzięki udziałowi w projekcie.</w:t>
            </w:r>
          </w:p>
          <w:p w14:paraId="2D1BCC0D" w14:textId="77777777" w:rsidR="009C40B8" w:rsidRPr="00AD24A8" w:rsidRDefault="009C40B8" w:rsidP="00E96A7B">
            <w:pPr>
              <w:spacing w:after="100" w:afterAutospacing="1"/>
              <w:rPr>
                <w:iCs/>
                <w:szCs w:val="22"/>
              </w:rPr>
            </w:pPr>
            <w:r w:rsidRPr="00AD24A8">
              <w:rPr>
                <w:szCs w:val="22"/>
              </w:rPr>
              <w:t xml:space="preserve">Przez niepewne zatrudnienie rozumie się zatrudnienie oparte na umowie o pracę na czas określony/kontrakt, w tym na zastępstwo, na okres próbny, umowie cywilnoprawnej. </w:t>
            </w:r>
            <w:r w:rsidRPr="00AD24A8">
              <w:rPr>
                <w:iCs/>
                <w:szCs w:val="22"/>
              </w:rPr>
              <w:t xml:space="preserve">Pracownicy zatrudnieni na czas określony / kontrakt to pracownicy, których główna praca zakończy się albo po ustalonym z góry okresie (w określonym terminie), albo po okresie nieznanym z góry, ale określonym </w:t>
            </w:r>
            <w:r w:rsidRPr="00AD24A8">
              <w:rPr>
                <w:iCs/>
                <w:szCs w:val="22"/>
              </w:rPr>
              <w:lastRenderedPageBreak/>
              <w:t xml:space="preserve">przez obiektywne kryteria, takie jak ukończenie zlecenia lub okres braku pracownika zastępowanego czasowo. </w:t>
            </w:r>
          </w:p>
          <w:p w14:paraId="1E6FE365" w14:textId="77777777" w:rsidR="009C40B8" w:rsidRPr="00AD24A8" w:rsidRDefault="009C40B8" w:rsidP="00E96A7B">
            <w:pPr>
              <w:spacing w:after="100" w:afterAutospacing="1"/>
              <w:rPr>
                <w:szCs w:val="22"/>
              </w:rPr>
            </w:pPr>
            <w:r w:rsidRPr="00AD24A8">
              <w:rPr>
                <w:szCs w:val="22"/>
              </w:rPr>
              <w:t>Pod pojęciem niepełnego zatrudnienia należy rozumieć</w:t>
            </w:r>
            <w:r w:rsidRPr="00AD24A8">
              <w:rPr>
                <w:iCs/>
                <w:szCs w:val="22"/>
              </w:rPr>
              <w:t xml:space="preserve"> przymusowe zatrudnienie w niepełnym wymiarze godzin. Oznacza to, że respondenci deklarują, że pracują w niepełnym wymiarze godzin, ponieważ nie mogą znaleźć pracy w pełnym wymiarze godzin</w:t>
            </w:r>
            <w:r w:rsidRPr="00AD24A8">
              <w:rPr>
                <w:szCs w:val="22"/>
              </w:rPr>
              <w:t>.</w:t>
            </w:r>
          </w:p>
          <w:p w14:paraId="457356E8" w14:textId="77777777" w:rsidR="009C40B8" w:rsidRPr="00AD24A8" w:rsidRDefault="009C40B8" w:rsidP="00E96A7B">
            <w:pPr>
              <w:spacing w:after="100" w:afterAutospacing="1"/>
              <w:rPr>
                <w:szCs w:val="22"/>
              </w:rPr>
            </w:pPr>
            <w:r w:rsidRPr="00AD24A8">
              <w:rPr>
                <w:szCs w:val="22"/>
              </w:rPr>
              <w:t>Sformułowania zapisane kursywą są identyczne z definicją Eurostat dla Badania Aktywności Ekonomicznej Ludności.</w:t>
            </w:r>
          </w:p>
          <w:p w14:paraId="61088118" w14:textId="74D9EB7A" w:rsidR="009C40B8" w:rsidRPr="00AD24A8" w:rsidRDefault="009C40B8" w:rsidP="00E96A7B">
            <w:pPr>
              <w:rPr>
                <w:rFonts w:eastAsia="Times New Roman" w:cstheme="minorHAnsi"/>
                <w:szCs w:val="22"/>
                <w:lang w:eastAsia="pl-PL"/>
              </w:rPr>
            </w:pPr>
            <w:r w:rsidRPr="00AD24A8">
              <w:rPr>
                <w:szCs w:val="22"/>
              </w:rPr>
              <w:t xml:space="preserve">Źródło: Eurostat, </w:t>
            </w:r>
            <w:r w:rsidRPr="00AD24A8">
              <w:rPr>
                <w:szCs w:val="22"/>
                <w:lang w:val="fr-BE"/>
              </w:rPr>
              <w:t>https://ec.europa.eu/eurostat/statistics-explained/index.php?title=EU_Labour_Force_Survey_-_new_methodology_from_2021_onwards</w:t>
            </w:r>
            <w:r w:rsidRPr="00AD24A8">
              <w:rPr>
                <w:szCs w:val="22"/>
              </w:rPr>
              <w:t>.</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7" w:name="_Toc164069057"/>
      <w:r w:rsidRPr="000B0EC7">
        <w:lastRenderedPageBreak/>
        <w:t>Z</w:t>
      </w:r>
      <w:r w:rsidR="00D776F2" w:rsidRPr="000B0EC7">
        <w:t xml:space="preserve">ałącznik nr </w:t>
      </w:r>
      <w:bookmarkEnd w:id="34"/>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7"/>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671777">
      <w:pPr>
        <w:pStyle w:val="Legenda"/>
        <w:keepNext/>
        <w:numPr>
          <w:ilvl w:val="1"/>
          <w:numId w:val="33"/>
        </w:numPr>
        <w:ind w:left="709" w:hanging="284"/>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5"/>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671777">
      <w:pPr>
        <w:pStyle w:val="Legenda"/>
        <w:keepNext/>
        <w:numPr>
          <w:ilvl w:val="1"/>
          <w:numId w:val="33"/>
        </w:numPr>
        <w:ind w:left="709" w:hanging="284"/>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671777">
      <w:pPr>
        <w:pStyle w:val="Legenda"/>
        <w:keepNext/>
        <w:numPr>
          <w:ilvl w:val="1"/>
          <w:numId w:val="33"/>
        </w:numPr>
        <w:ind w:left="709" w:hanging="284"/>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613F56">
        <w:trPr>
          <w:trHeight w:val="936"/>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7"/>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8"/>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613F56">
        <w:trPr>
          <w:trHeight w:val="832"/>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9"/>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0"/>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58A997C5" w:rsidR="00696F71" w:rsidRDefault="00696F71" w:rsidP="00C0118F">
      <w:pPr>
        <w:sectPr w:rsidR="00696F71"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67A29A82" w14:textId="36B61BF3" w:rsidR="00C90668" w:rsidRPr="00613F56" w:rsidRDefault="006A31A8" w:rsidP="00696F71">
      <w:pPr>
        <w:pStyle w:val="Nagwek3"/>
      </w:pPr>
      <w:bookmarkStart w:id="38" w:name="_Toc164069058"/>
      <w:bookmarkStart w:id="39" w:name="_Toc164069059"/>
      <w:bookmarkStart w:id="40" w:name="_Toc164069060"/>
      <w:bookmarkStart w:id="41" w:name="_Toc164069061"/>
      <w:bookmarkStart w:id="42" w:name="_Toc164069062"/>
      <w:bookmarkStart w:id="43" w:name="_Toc164069063"/>
      <w:bookmarkStart w:id="44" w:name="_Toc164069064"/>
      <w:bookmarkStart w:id="45" w:name="_Toc164069065"/>
      <w:bookmarkStart w:id="46" w:name="_Toc164069066"/>
      <w:bookmarkStart w:id="47" w:name="_Toc164069067"/>
      <w:bookmarkStart w:id="48" w:name="_Toc164069068"/>
      <w:bookmarkStart w:id="49" w:name="_Toc164069069"/>
      <w:bookmarkStart w:id="50" w:name="_Toc164069090"/>
      <w:bookmarkStart w:id="51" w:name="_Toc164069116"/>
      <w:bookmarkStart w:id="52" w:name="_Toc164069152"/>
      <w:bookmarkStart w:id="53" w:name="_Toc164069153"/>
      <w:bookmarkStart w:id="54" w:name="_Toc164069154"/>
      <w:bookmarkStart w:id="55" w:name="_Toc164069155"/>
      <w:bookmarkStart w:id="56" w:name="_Toc164069156"/>
      <w:bookmarkStart w:id="57" w:name="_Toc164069157"/>
      <w:bookmarkStart w:id="58" w:name="_Toc164069158"/>
      <w:bookmarkStart w:id="59" w:name="_Toc164069159"/>
      <w:bookmarkStart w:id="60" w:name="_Toc164069160"/>
      <w:bookmarkStart w:id="61" w:name="_Toc164069161"/>
      <w:bookmarkStart w:id="62" w:name="_Toc164069162"/>
      <w:bookmarkStart w:id="63" w:name="_Toc164069163"/>
      <w:bookmarkStart w:id="64" w:name="_Toc164069164"/>
      <w:bookmarkStart w:id="65" w:name="_Toc164069165"/>
      <w:bookmarkStart w:id="66" w:name="_Toc164069166"/>
      <w:bookmarkStart w:id="67" w:name="_Toc164069167"/>
      <w:bookmarkStart w:id="68" w:name="_Toc164069168"/>
      <w:bookmarkStart w:id="69" w:name="_Toc164069169"/>
      <w:bookmarkStart w:id="70" w:name="_Toc164069170"/>
      <w:bookmarkStart w:id="71" w:name="_Toc164069171"/>
      <w:bookmarkStart w:id="72" w:name="_Toc164069172"/>
      <w:bookmarkStart w:id="73" w:name="_Toc164069173"/>
      <w:bookmarkStart w:id="74" w:name="_Toc164069174"/>
      <w:bookmarkStart w:id="75" w:name="_Toc164069175"/>
      <w:bookmarkStart w:id="76" w:name="_Toc164069176"/>
      <w:bookmarkStart w:id="77" w:name="_Toc164069177"/>
      <w:bookmarkStart w:id="78" w:name="_Toc164069178"/>
      <w:bookmarkStart w:id="79" w:name="_Toc164069179"/>
      <w:bookmarkStart w:id="80" w:name="_Toc164069180"/>
      <w:bookmarkStart w:id="81" w:name="_Toc164069181"/>
      <w:bookmarkStart w:id="82" w:name="_Toc164069182"/>
      <w:bookmarkStart w:id="83" w:name="_Toc164069183"/>
      <w:bookmarkStart w:id="84" w:name="_Toc164069184"/>
      <w:bookmarkStart w:id="85" w:name="_Toc164069185"/>
      <w:bookmarkStart w:id="86" w:name="_Toc164069186"/>
      <w:bookmarkStart w:id="87" w:name="_Toc164069187"/>
      <w:bookmarkStart w:id="88" w:name="_Toc164069188"/>
      <w:bookmarkStart w:id="89" w:name="_Toc164069189"/>
      <w:bookmarkStart w:id="90" w:name="_Toc164069190"/>
      <w:bookmarkStart w:id="91" w:name="_Toc164069191"/>
      <w:bookmarkStart w:id="92" w:name="_Toc164069192"/>
      <w:bookmarkStart w:id="93" w:name="_Toc164069193"/>
      <w:bookmarkStart w:id="94" w:name="_Toc164069194"/>
      <w:bookmarkStart w:id="95" w:name="_Toc164069195"/>
      <w:bookmarkStart w:id="96" w:name="_Toc164069196"/>
      <w:bookmarkStart w:id="97" w:name="_Toc164069197"/>
      <w:bookmarkStart w:id="98" w:name="_Toc164069198"/>
      <w:bookmarkStart w:id="99" w:name="_Toc164069199"/>
      <w:bookmarkStart w:id="100" w:name="_Toc164069200"/>
      <w:bookmarkStart w:id="101" w:name="_Toc164069201"/>
      <w:bookmarkStart w:id="102" w:name="_Toc164069202"/>
      <w:bookmarkStart w:id="103" w:name="_Toc164069328"/>
      <w:bookmarkStart w:id="104" w:name="_Toc164069329"/>
      <w:bookmarkStart w:id="105" w:name="_Toc164069330"/>
      <w:bookmarkStart w:id="106" w:name="_Toc164069331"/>
      <w:bookmarkStart w:id="107" w:name="_Toc164069332"/>
      <w:bookmarkStart w:id="108" w:name="_Toc164069333"/>
      <w:bookmarkStart w:id="109" w:name="_Toc164069334"/>
      <w:bookmarkStart w:id="110" w:name="_Toc164069335"/>
      <w:bookmarkStart w:id="111" w:name="_Toc164069336"/>
      <w:bookmarkStart w:id="112" w:name="_Toc164069337"/>
      <w:bookmarkStart w:id="113" w:name="_Toc164069338"/>
      <w:bookmarkStart w:id="114" w:name="_Toc164069339"/>
      <w:bookmarkStart w:id="115" w:name="_Toc53578016"/>
      <w:bookmarkStart w:id="116" w:name="_Toc16406939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1531D">
        <w:lastRenderedPageBreak/>
        <w:t>Załącznik nr</w:t>
      </w:r>
      <w:r w:rsidRPr="00696F71">
        <w:t xml:space="preserve"> </w:t>
      </w:r>
      <w:bookmarkStart w:id="117" w:name="_Toc458671679"/>
      <w:r w:rsidR="00884F9B" w:rsidRPr="00696F71">
        <w:t>3</w:t>
      </w:r>
      <w:r w:rsidR="00884F9B" w:rsidRPr="00613F56">
        <w:t xml:space="preserve"> </w:t>
      </w:r>
      <w:r w:rsidR="00A34E8E" w:rsidRPr="00613F56">
        <w:t>–</w:t>
      </w:r>
      <w:r w:rsidR="00E50F22" w:rsidRPr="00613F56">
        <w:t xml:space="preserve"> </w:t>
      </w:r>
      <w:r>
        <w:t>P</w:t>
      </w:r>
      <w:r w:rsidRPr="0031531D">
        <w:t>rzykładowy wzór oświadczenia uczestnika projektu nt.</w:t>
      </w:r>
      <w:r w:rsidR="001D5485" w:rsidRPr="00613F56">
        <w:t> </w:t>
      </w:r>
      <w:r>
        <w:t>j</w:t>
      </w:r>
      <w:r w:rsidRPr="0031531D">
        <w:t>ego sytuacji po zakończeniu udziału w projekcie</w:t>
      </w:r>
      <w:bookmarkEnd w:id="115"/>
      <w:bookmarkEnd w:id="116"/>
      <w:bookmarkEnd w:id="117"/>
    </w:p>
    <w:p w14:paraId="640E5886" w14:textId="77F797C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613F56">
      <w:pgSz w:w="11906" w:h="16838"/>
      <w:pgMar w:top="212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F6CF2" w14:textId="77777777" w:rsidR="00762A8B" w:rsidRDefault="00762A8B" w:rsidP="00AA6756">
      <w:pPr>
        <w:spacing w:after="0" w:line="240" w:lineRule="auto"/>
      </w:pPr>
      <w:r>
        <w:separator/>
      </w:r>
    </w:p>
  </w:endnote>
  <w:endnote w:type="continuationSeparator" w:id="0">
    <w:p w14:paraId="0720DCD2" w14:textId="77777777" w:rsidR="00762A8B" w:rsidRDefault="00762A8B"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613F56" w:rsidRDefault="00613F56">
    <w:pPr>
      <w:pStyle w:val="Stopka"/>
    </w:pPr>
    <w:r>
      <w:rPr>
        <w:noProof/>
        <w:lang w:eastAsia="pl-PL"/>
      </w:rPr>
      <w:drawing>
        <wp:inline distT="0" distB="0" distL="0" distR="0" wp14:anchorId="410E6B24" wp14:editId="613125B5">
          <wp:extent cx="7016115" cy="194310"/>
          <wp:effectExtent l="0" t="0" r="0" b="0"/>
          <wp:docPr id="8"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613F56" w:rsidRDefault="00613F56">
        <w:pPr>
          <w:pStyle w:val="Stopka"/>
          <w:jc w:val="right"/>
        </w:pPr>
        <w:r>
          <w:fldChar w:fldCharType="begin"/>
        </w:r>
        <w:r>
          <w:instrText>PAGE   \* MERGEFORMAT</w:instrText>
        </w:r>
        <w:r>
          <w:fldChar w:fldCharType="separate"/>
        </w:r>
        <w:r>
          <w:t>2</w:t>
        </w:r>
        <w:r>
          <w:fldChar w:fldCharType="end"/>
        </w:r>
      </w:p>
    </w:sdtContent>
  </w:sdt>
  <w:p w14:paraId="10A4FB05" w14:textId="77777777" w:rsidR="00613F56" w:rsidRDefault="00613F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33CD9526" w:rsidR="00613F56" w:rsidRPr="008F2DE8" w:rsidRDefault="00613F56"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10" name="Obraz 10"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613F56" w:rsidRDefault="00613F56">
    <w:pPr>
      <w:pStyle w:val="Stopka"/>
    </w:pPr>
  </w:p>
  <w:p w14:paraId="79190642" w14:textId="77777777" w:rsidR="00613F56" w:rsidRDefault="00613F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0674A56E" w:rsidR="00613F56" w:rsidRDefault="00613F56" w:rsidP="006C3856">
    <w:pPr>
      <w:pStyle w:val="Stopka"/>
      <w:tabs>
        <w:tab w:val="left" w:pos="3686"/>
      </w:tabs>
      <w:jc w:val="right"/>
    </w:pPr>
  </w:p>
  <w:p w14:paraId="19A85654" w14:textId="4F419400" w:rsidR="00613F56" w:rsidRPr="008F2DE8" w:rsidRDefault="00613F56"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12" name="Obraz 1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D0DB" w14:textId="77777777" w:rsidR="00762A8B" w:rsidRDefault="00762A8B" w:rsidP="00AA6756">
      <w:pPr>
        <w:spacing w:after="0" w:line="240" w:lineRule="auto"/>
      </w:pPr>
      <w:r>
        <w:separator/>
      </w:r>
    </w:p>
  </w:footnote>
  <w:footnote w:type="continuationSeparator" w:id="0">
    <w:p w14:paraId="79BC8FFD" w14:textId="77777777" w:rsidR="00762A8B" w:rsidRDefault="00762A8B" w:rsidP="00AA6756">
      <w:pPr>
        <w:spacing w:after="0" w:line="240" w:lineRule="auto"/>
      </w:pPr>
      <w:r>
        <w:continuationSeparator/>
      </w:r>
    </w:p>
  </w:footnote>
  <w:footnote w:id="1">
    <w:p w14:paraId="1E6B8E04" w14:textId="29DE1BA6" w:rsidR="00613F56" w:rsidRDefault="00613F56"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28AEC6EE" w14:textId="77777777" w:rsidR="00613F56" w:rsidRDefault="00613F56">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3">
    <w:p w14:paraId="6172F442" w14:textId="77777777" w:rsidR="00613F56" w:rsidRDefault="00613F56"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4">
    <w:p w14:paraId="121166B0" w14:textId="77777777" w:rsidR="00613F56" w:rsidRDefault="00613F56"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5">
    <w:p w14:paraId="409D3831" w14:textId="77777777" w:rsidR="00613F56" w:rsidRDefault="00613F56">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6">
    <w:p w14:paraId="6A8189DD" w14:textId="77777777" w:rsidR="00613F56" w:rsidRDefault="00613F56">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7">
    <w:p w14:paraId="0692C9DE" w14:textId="77777777" w:rsidR="00613F56" w:rsidRDefault="00613F56">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8">
    <w:p w14:paraId="4856F050" w14:textId="77777777" w:rsidR="00613F56" w:rsidRDefault="00613F56">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9">
    <w:p w14:paraId="4A4DFC69" w14:textId="5A88C613" w:rsidR="00613F56" w:rsidRDefault="00613F56">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0">
    <w:p w14:paraId="2CD92FB2" w14:textId="77777777" w:rsidR="00613F56" w:rsidRPr="00DB6710" w:rsidRDefault="00613F56">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613F56" w:rsidRDefault="00613F56">
    <w:pPr>
      <w:pStyle w:val="Nagwek"/>
    </w:pPr>
    <w:r>
      <w:rPr>
        <w:noProof/>
        <w:lang w:eastAsia="pl-PL"/>
      </w:rPr>
      <w:drawing>
        <wp:inline distT="0" distB="0" distL="0" distR="0" wp14:anchorId="22E0DCC4" wp14:editId="2781FE88">
          <wp:extent cx="7056120" cy="759460"/>
          <wp:effectExtent l="0" t="0" r="0" b="2540"/>
          <wp:docPr id="7" name="Obraz 7"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613F56" w:rsidRDefault="00613F56"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9"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613F56" w:rsidRDefault="00613F56">
    <w:pPr>
      <w:pStyle w:val="Nagwek"/>
    </w:pPr>
  </w:p>
  <w:p w14:paraId="2AFE3B96" w14:textId="77777777" w:rsidR="00613F56" w:rsidRDefault="00613F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613F56" w:rsidRDefault="00613F56"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613F56" w:rsidRPr="008043BD" w:rsidRDefault="00613F56" w:rsidP="00E04604">
    <w:pPr>
      <w:pStyle w:val="Nagwek"/>
      <w:jc w:val="center"/>
    </w:pPr>
    <w:r>
      <w:rPr>
        <w:noProof/>
      </w:rPr>
      <w:drawing>
        <wp:inline distT="0" distB="0" distL="0" distR="0" wp14:anchorId="3812BC0A" wp14:editId="1C21A372">
          <wp:extent cx="5759450" cy="594229"/>
          <wp:effectExtent l="0" t="0" r="0" b="0"/>
          <wp:docPr id="11" name="Obraz 1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11"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7"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55E86647"/>
    <w:multiLevelType w:val="hybridMultilevel"/>
    <w:tmpl w:val="0428D5A4"/>
    <w:lvl w:ilvl="0" w:tplc="6E9231E8">
      <w:start w:val="1"/>
      <w:numFmt w:val="decimal"/>
      <w:lvlText w:val="%1."/>
      <w:lvlJc w:val="left"/>
      <w:pPr>
        <w:ind w:left="502" w:hanging="360"/>
      </w:pPr>
      <w:rPr>
        <w:rFonts w:hint="default"/>
        <w:color w:val="0000FF" w:themeColor="hyperlink"/>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82449"/>
    <w:multiLevelType w:val="multilevel"/>
    <w:tmpl w:val="E92A71DC"/>
    <w:lvl w:ilvl="0">
      <w:start w:val="1"/>
      <w:numFmt w:val="decimal"/>
      <w:pStyle w:val="Nagwek2"/>
      <w:lvlText w:val="%1."/>
      <w:lvlJc w:val="left"/>
      <w:pPr>
        <w:ind w:left="720" w:hanging="360"/>
      </w:pPr>
    </w:lvl>
    <w:lvl w:ilvl="1">
      <w:start w:val="1"/>
      <w:numFmt w:val="decimal"/>
      <w:pStyle w:val="Nagwek4"/>
      <w:isLgl/>
      <w:lvlText w:val="%1.%2."/>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CB086D"/>
    <w:multiLevelType w:val="hybridMultilevel"/>
    <w:tmpl w:val="FAF29D22"/>
    <w:lvl w:ilvl="0" w:tplc="0BDA2E48">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39"/>
  </w:num>
  <w:num w:numId="4">
    <w:abstractNumId w:val="17"/>
  </w:num>
  <w:num w:numId="5">
    <w:abstractNumId w:val="41"/>
  </w:num>
  <w:num w:numId="6">
    <w:abstractNumId w:val="0"/>
  </w:num>
  <w:num w:numId="7">
    <w:abstractNumId w:val="13"/>
  </w:num>
  <w:num w:numId="8">
    <w:abstractNumId w:val="11"/>
  </w:num>
  <w:num w:numId="9">
    <w:abstractNumId w:val="6"/>
  </w:num>
  <w:num w:numId="10">
    <w:abstractNumId w:val="43"/>
  </w:num>
  <w:num w:numId="11">
    <w:abstractNumId w:val="7"/>
  </w:num>
  <w:num w:numId="12">
    <w:abstractNumId w:val="40"/>
  </w:num>
  <w:num w:numId="13">
    <w:abstractNumId w:val="24"/>
  </w:num>
  <w:num w:numId="14">
    <w:abstractNumId w:val="26"/>
  </w:num>
  <w:num w:numId="15">
    <w:abstractNumId w:val="31"/>
  </w:num>
  <w:num w:numId="16">
    <w:abstractNumId w:val="18"/>
  </w:num>
  <w:num w:numId="17">
    <w:abstractNumId w:val="2"/>
  </w:num>
  <w:num w:numId="18">
    <w:abstractNumId w:val="42"/>
  </w:num>
  <w:num w:numId="19">
    <w:abstractNumId w:val="23"/>
  </w:num>
  <w:num w:numId="20">
    <w:abstractNumId w:val="4"/>
  </w:num>
  <w:num w:numId="21">
    <w:abstractNumId w:val="14"/>
  </w:num>
  <w:num w:numId="22">
    <w:abstractNumId w:val="9"/>
  </w:num>
  <w:num w:numId="23">
    <w:abstractNumId w:val="28"/>
  </w:num>
  <w:num w:numId="24">
    <w:abstractNumId w:val="38"/>
  </w:num>
  <w:num w:numId="25">
    <w:abstractNumId w:val="12"/>
  </w:num>
  <w:num w:numId="26">
    <w:abstractNumId w:val="36"/>
  </w:num>
  <w:num w:numId="27">
    <w:abstractNumId w:val="5"/>
  </w:num>
  <w:num w:numId="28">
    <w:abstractNumId w:val="8"/>
  </w:num>
  <w:num w:numId="29">
    <w:abstractNumId w:val="20"/>
  </w:num>
  <w:num w:numId="30">
    <w:abstractNumId w:val="21"/>
  </w:num>
  <w:num w:numId="31">
    <w:abstractNumId w:val="19"/>
  </w:num>
  <w:num w:numId="32">
    <w:abstractNumId w:val="25"/>
  </w:num>
  <w:num w:numId="33">
    <w:abstractNumId w:val="32"/>
  </w:num>
  <w:num w:numId="34">
    <w:abstractNumId w:val="3"/>
  </w:num>
  <w:num w:numId="35">
    <w:abstractNumId w:val="33"/>
  </w:num>
  <w:num w:numId="36">
    <w:abstractNumId w:val="44"/>
  </w:num>
  <w:num w:numId="37">
    <w:abstractNumId w:val="22"/>
  </w:num>
  <w:num w:numId="38">
    <w:abstractNumId w:val="16"/>
  </w:num>
  <w:num w:numId="39">
    <w:abstractNumId w:val="30"/>
  </w:num>
  <w:num w:numId="40">
    <w:abstractNumId w:val="35"/>
  </w:num>
  <w:num w:numId="41">
    <w:abstractNumId w:val="37"/>
  </w:num>
  <w:num w:numId="42">
    <w:abstractNumId w:val="1"/>
  </w:num>
  <w:num w:numId="43">
    <w:abstractNumId w:val="15"/>
  </w:num>
  <w:num w:numId="44">
    <w:abstractNumId w:val="45"/>
  </w:num>
  <w:num w:numId="45">
    <w:abstractNumId w:val="29"/>
  </w:num>
  <w:num w:numId="46">
    <w:abstractNumId w:val="36"/>
  </w:num>
  <w:num w:numId="47">
    <w:abstractNumId w:val="36"/>
  </w:num>
  <w:num w:numId="48">
    <w:abstractNumId w:val="10"/>
  </w:num>
  <w:num w:numId="4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50768A1-2D36-4F5D-9817-9672218CF1DF}"/>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4FE2"/>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59D"/>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5DD3"/>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3C5"/>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8E6"/>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205"/>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6B49"/>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06"/>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40B1"/>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AF6"/>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2C25"/>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5CB4"/>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B01"/>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14C"/>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3F56"/>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6F71"/>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33C"/>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4E8"/>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57B09"/>
    <w:rsid w:val="00760145"/>
    <w:rsid w:val="007617CD"/>
    <w:rsid w:val="00762A8B"/>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9690D"/>
    <w:rsid w:val="007974A6"/>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D7CAE"/>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775"/>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3D0"/>
    <w:rsid w:val="00880504"/>
    <w:rsid w:val="00880B94"/>
    <w:rsid w:val="00881172"/>
    <w:rsid w:val="00881BD2"/>
    <w:rsid w:val="0088283C"/>
    <w:rsid w:val="00882B37"/>
    <w:rsid w:val="008832CE"/>
    <w:rsid w:val="00883473"/>
    <w:rsid w:val="00884137"/>
    <w:rsid w:val="0088495E"/>
    <w:rsid w:val="00884ABC"/>
    <w:rsid w:val="00884C6D"/>
    <w:rsid w:val="00884F9B"/>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0FF"/>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8B2"/>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17F89"/>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2D6"/>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0B8"/>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2FDD"/>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3EE"/>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AB5"/>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634"/>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4A8"/>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3B8"/>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3AE2"/>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3FE6"/>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5A5D"/>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CF1"/>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245"/>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4FAE"/>
    <w:rsid w:val="00C5586D"/>
    <w:rsid w:val="00C55C9A"/>
    <w:rsid w:val="00C56CDB"/>
    <w:rsid w:val="00C57130"/>
    <w:rsid w:val="00C57771"/>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AE8"/>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2356"/>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43F"/>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2DD0"/>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695F"/>
    <w:rsid w:val="00E170BC"/>
    <w:rsid w:val="00E17989"/>
    <w:rsid w:val="00E2059C"/>
    <w:rsid w:val="00E20623"/>
    <w:rsid w:val="00E20A61"/>
    <w:rsid w:val="00E20B12"/>
    <w:rsid w:val="00E21243"/>
    <w:rsid w:val="00E215E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6A63"/>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AF3"/>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A7B"/>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99E"/>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3A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6A6"/>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A03"/>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44"/>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9CD"/>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68A1-2D36-4F5D-9817-9672218CF1DF}">
  <ds:schemaRefs>
    <ds:schemaRef ds:uri="http://www.w3.org/2001/XMLSchema"/>
  </ds:schemaRefs>
</ds:datastoreItem>
</file>

<file path=customXml/itemProps2.xml><?xml version="1.0" encoding="utf-8"?>
<ds:datastoreItem xmlns:ds="http://schemas.openxmlformats.org/officeDocument/2006/customXml" ds:itemID="{8341F1B2-9D4F-4A17-84CC-6AABD7A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7317</Words>
  <Characters>43903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51118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2024</dc:title>
  <dc:subject>Zasady pomiaru wskaźników</dc:subject>
  <dc:creator>Agata Michałowska</dc:creator>
  <cp:keywords>Wskaźniki;Działanie 5.4.</cp:keywords>
  <dc:description/>
  <cp:lastModifiedBy>Agnieszka Stefaniak</cp:lastModifiedBy>
  <cp:revision>8</cp:revision>
  <cp:lastPrinted>2024-04-15T08:30:00Z</cp:lastPrinted>
  <dcterms:created xsi:type="dcterms:W3CDTF">2024-12-04T07:38:00Z</dcterms:created>
  <dcterms:modified xsi:type="dcterms:W3CDTF">2024-12-04T11:49:00Z</dcterms:modified>
</cp:coreProperties>
</file>