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45B1" w14:textId="4335D420" w:rsidR="00F9022A" w:rsidRPr="00F9022A" w:rsidRDefault="00B03BDF" w:rsidP="00F9022A">
      <w:pPr>
        <w:rPr>
          <w:sz w:val="24"/>
          <w:szCs w:val="28"/>
        </w:rPr>
      </w:pPr>
      <w:bookmarkStart w:id="0" w:name="_Toc53578004"/>
      <w:bookmarkStart w:id="1" w:name="_Toc53577686"/>
      <w:r w:rsidRPr="00A579FD">
        <w:rPr>
          <w:sz w:val="24"/>
          <w:szCs w:val="28"/>
        </w:rPr>
        <w:t xml:space="preserve">Załącznik nr </w:t>
      </w:r>
      <w:bookmarkEnd w:id="0"/>
      <w:bookmarkEnd w:id="1"/>
      <w:r w:rsidR="00A579FD" w:rsidRPr="00A579FD">
        <w:rPr>
          <w:sz w:val="24"/>
          <w:szCs w:val="28"/>
        </w:rPr>
        <w:t xml:space="preserve">33 </w:t>
      </w:r>
      <w:r w:rsidR="00F9022A" w:rsidRPr="00F9022A">
        <w:rPr>
          <w:sz w:val="24"/>
          <w:szCs w:val="28"/>
        </w:rPr>
        <w:t>do Regulaminu wyboru projektów</w:t>
      </w:r>
    </w:p>
    <w:p w14:paraId="7CB2DE11" w14:textId="1B3B3CD4" w:rsidR="00B03BDF" w:rsidRPr="00F9022A" w:rsidRDefault="00B03BDF" w:rsidP="00F9022A">
      <w:pPr>
        <w:pStyle w:val="Nagwek1"/>
      </w:pPr>
      <w:r w:rsidRPr="00F9022A">
        <w:tab/>
        <w:t>Taryfikator towarów i usług</w:t>
      </w:r>
    </w:p>
    <w:p w14:paraId="26F1B769" w14:textId="6690543A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Poniższy katalog </w:t>
      </w:r>
      <w:r w:rsidRPr="004A75E4">
        <w:rPr>
          <w:rFonts w:asciiTheme="minorHAnsi" w:hAnsiTheme="minorHAnsi" w:cstheme="minorHAnsi"/>
          <w:b/>
          <w:sz w:val="24"/>
        </w:rPr>
        <w:t>nie jest</w:t>
      </w:r>
      <w:r w:rsidRPr="004A75E4">
        <w:rPr>
          <w:rFonts w:asciiTheme="minorHAnsi" w:hAnsiTheme="minorHAnsi" w:cstheme="minorHAnsi"/>
          <w:sz w:val="24"/>
        </w:rPr>
        <w:t xml:space="preserve"> </w:t>
      </w:r>
      <w:r w:rsidRPr="004A75E4">
        <w:rPr>
          <w:rFonts w:asciiTheme="minorHAnsi" w:hAnsiTheme="minorHAnsi" w:cstheme="minorHAnsi"/>
          <w:b/>
          <w:sz w:val="24"/>
        </w:rPr>
        <w:t>katalogiem zamkniętym</w:t>
      </w:r>
      <w:r w:rsidRPr="004A75E4">
        <w:rPr>
          <w:rFonts w:asciiTheme="minorHAnsi" w:hAnsiTheme="minorHAnsi" w:cstheme="minorHAnsi"/>
          <w:sz w:val="24"/>
        </w:rPr>
        <w:t xml:space="preserve"> i inne koszty związane z realizacją projektu w ramach FEP, które nie zostały w nim ujęte powinny być zgodne z cenami rynkowymi oraz spełniać zasady określone w Wytycznych dotyczących kwalifikowalności wydatków na lata 2021-2027. </w:t>
      </w:r>
    </w:p>
    <w:p w14:paraId="2215F9E8" w14:textId="224FA97A" w:rsidR="009C3EFF" w:rsidRPr="004A75E4" w:rsidRDefault="009C3EFF" w:rsidP="009C3EFF">
      <w:pPr>
        <w:rPr>
          <w:rFonts w:asciiTheme="minorHAnsi" w:hAnsiTheme="minorHAnsi" w:cstheme="minorHAnsi"/>
          <w:b/>
          <w:sz w:val="24"/>
          <w:szCs w:val="28"/>
        </w:rPr>
      </w:pPr>
      <w:r w:rsidRPr="004A75E4">
        <w:rPr>
          <w:rFonts w:asciiTheme="minorHAnsi" w:hAnsiTheme="minorHAnsi" w:cstheme="minorHAnsi"/>
          <w:sz w:val="24"/>
        </w:rPr>
        <w:t xml:space="preserve">Stawki przedstawione w taryfikatorze należy traktować jako maksymalne. 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W przypadku założenia w budżecie projektu stawek wyższych, we wniosku o dofinansowanie w części </w:t>
      </w:r>
      <w:r w:rsidRPr="004A75E4">
        <w:rPr>
          <w:rFonts w:asciiTheme="minorHAnsi" w:hAnsiTheme="minorHAnsi" w:cstheme="minorHAnsi"/>
          <w:b/>
          <w:spacing w:val="30"/>
          <w:sz w:val="24"/>
          <w:szCs w:val="28"/>
        </w:rPr>
        <w:t>Uzasadnienie wydatków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 należy wyjaśnić powód odstępstwa od stawek określonych w taryfikatorze. </w:t>
      </w:r>
    </w:p>
    <w:p w14:paraId="40210D0D" w14:textId="02BEA36E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W przypadku, gdy Wnioskodawca/Beneficjent zatrudnia w swojej instytucji osoby na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analogicznych stanowiskach, należy każdorazowo stosować stawkę zgodną z przyjętym Regulaminem wynagradzania.</w:t>
      </w:r>
    </w:p>
    <w:p w14:paraId="4EFE8869" w14:textId="77777777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Podczas analizy poziomu zaplanowanych w budżecie stawek weryfikacji podlegają przede wszystkim takie aspekty jak: cel projektu, wielkość/wartość projektu, wielkość grupy docelowej, złożoność zadań zaplanowanych do realizacji czy czasowe zaangażowanie personelu projektu. </w:t>
      </w:r>
    </w:p>
    <w:p w14:paraId="15C3F213" w14:textId="77777777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Ceny ujęte w tabelach są cenami brutto (</w:t>
      </w:r>
      <w:r w:rsidRPr="004A75E4">
        <w:rPr>
          <w:rFonts w:asciiTheme="minorHAnsi" w:hAnsiTheme="minorHAnsi" w:cstheme="minorHAnsi"/>
          <w:b/>
          <w:sz w:val="24"/>
        </w:rPr>
        <w:t>w przypadku wynagrodzeń stawki uwzględniają składki pracodawcy</w:t>
      </w:r>
      <w:r w:rsidRPr="004A75E4">
        <w:rPr>
          <w:rFonts w:asciiTheme="minorHAnsi" w:hAnsiTheme="minorHAnsi" w:cstheme="minorHAnsi"/>
          <w:sz w:val="24"/>
        </w:rPr>
        <w:t xml:space="preserve">). Przy ocenie kwalifikowalności wydatków związanych z zatrudnieniem personelu na umowę cywilno-prawną przy wykorzystaniu maksymalnej ceny rynkowej pod uwagę będzie brana wielkość zaangażowania godzinowego danej osoby w projekcie. </w:t>
      </w:r>
    </w:p>
    <w:p w14:paraId="192A72C9" w14:textId="77777777" w:rsidR="009C3EFF" w:rsidRPr="004A75E4" w:rsidRDefault="009C3EFF" w:rsidP="009C3EFF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Przy zatrudnieniu pracownika na umowę o pracę (np. ½ etatu w okresie roku) wynagrodzenie nie może wynikać z przemnożenia liczby przepracowanych godzin i podanego w zestawieniu kosztu, ponieważ prowadzić to będzie do nieuzasadnionego zawyżenia poziomu wynagrodzeń. </w:t>
      </w:r>
    </w:p>
    <w:p w14:paraId="6CB2EB17" w14:textId="328E3669" w:rsidR="009C3EFF" w:rsidRPr="008210DA" w:rsidRDefault="009C3EFF" w:rsidP="008210DA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Na etapie realizacji projektu, możliwe jest zakupienie towaru lub usługi w cenie innej niż wskazana w szczegółowym budżecie projektu, o ile jest to cena rynkowa potwierdzona w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wyniku przeprowadzonego w projekcie postępowania o udzielenie zamówienia lub postępowania konkurencyjnego przeprowadzonego na podstawie ustawy PZP lub zasady konkurencyjności, a procedura ta została przeprowadzona w sposób prawidłowy. Każdorazowe zwiększenie stawek założonych w budżecie zatwierdzonego wniosku o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 xml:space="preserve">dofinansowanie wymaga wyjaśnień ze strony Wnioskodawcy/Beneficjenta i akceptacji </w:t>
      </w:r>
      <w:r w:rsidR="008210DA">
        <w:rPr>
          <w:rFonts w:asciiTheme="minorHAnsi" w:hAnsiTheme="minorHAnsi" w:cstheme="minorHAnsi"/>
          <w:sz w:val="24"/>
        </w:rPr>
        <w:t>I</w:t>
      </w:r>
      <w:r w:rsidR="00735149">
        <w:rPr>
          <w:rFonts w:asciiTheme="minorHAnsi" w:hAnsiTheme="minorHAnsi" w:cstheme="minorHAnsi"/>
          <w:sz w:val="24"/>
        </w:rPr>
        <w:t>Z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FEP.</w:t>
      </w:r>
    </w:p>
    <w:p w14:paraId="077E2923" w14:textId="5F2874EE" w:rsidR="00A44A94" w:rsidRPr="00A9627D" w:rsidRDefault="00A44A94" w:rsidP="00A9627D">
      <w:pPr>
        <w:pStyle w:val="Nagwek2"/>
      </w:pPr>
      <w:r w:rsidRPr="008664CC">
        <w:lastRenderedPageBreak/>
        <w:t>Wykaz wynagrodzeń dla personelu w zadaniach merytorycznych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D73181" w:rsidRPr="00274477" w14:paraId="74E92C3F" w14:textId="77777777" w:rsidTr="00590803">
        <w:trPr>
          <w:trHeight w:val="525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398D164E" w14:textId="77777777" w:rsidR="00D73181" w:rsidRPr="00274477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58088B58" w14:textId="3AA690F0" w:rsidR="00D73181" w:rsidRPr="00274477" w:rsidRDefault="00D73181" w:rsidP="00A70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r w:rsidR="00504C05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171D17CA" w14:textId="77777777" w:rsidR="00D73181" w:rsidRPr="00274477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</w:t>
            </w:r>
          </w:p>
          <w:p w14:paraId="5AD69399" w14:textId="5226665D" w:rsidR="003A4E35" w:rsidRPr="00274477" w:rsidRDefault="003A4E35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(etat / godz.</w:t>
            </w:r>
            <w:r w:rsidRPr="00274477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footnoteReference w:id="2"/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)</w:t>
            </w:r>
          </w:p>
        </w:tc>
      </w:tr>
      <w:tr w:rsidR="005758C5" w:rsidRPr="00274477" w14:paraId="3F8F7212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FF89" w14:textId="72D337C7" w:rsidR="005758C5" w:rsidRPr="001468AA" w:rsidRDefault="00E26A4C" w:rsidP="00F46D1F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proofErr w:type="spellStart"/>
            <w:r w:rsidRPr="001468AA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Coach</w:t>
            </w:r>
            <w:proofErr w:type="spellEnd"/>
            <w:r w:rsidRPr="001468AA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/ trener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1491" w14:textId="7E7265D5" w:rsidR="005758C5" w:rsidRPr="00274477" w:rsidRDefault="00352122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EACC" w14:textId="1D7E9586" w:rsidR="005758C5" w:rsidRPr="00274477" w:rsidRDefault="00352122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73181" w:rsidRPr="00274477" w14:paraId="23F6CE5E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4DB3" w14:textId="7EE5E33B" w:rsidR="00D73181" w:rsidRPr="001468AA" w:rsidRDefault="00352122" w:rsidP="00F46D1F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1468A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Psycholog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1FAE8" w14:textId="3BB1FFD0" w:rsidR="00D73181" w:rsidRPr="00274477" w:rsidRDefault="00352122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3FC67" w14:textId="1B23944D" w:rsidR="00D73181" w:rsidRPr="00274477" w:rsidRDefault="00352122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6529DF93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0C9EF" w14:textId="1DB614C3" w:rsidR="00352122" w:rsidRPr="001468AA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1468AA">
              <w:rPr>
                <w:rFonts w:asciiTheme="minorHAnsi" w:hAnsiTheme="minorHAnsi" w:cstheme="minorHAnsi"/>
                <w:bCs/>
                <w:color w:val="000000"/>
                <w:szCs w:val="22"/>
              </w:rPr>
              <w:t>Terapeuta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80E9" w14:textId="171877D2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12F21" w14:textId="3EFD0A84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78B7C1BA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98C55" w14:textId="60AD92BB" w:rsidR="00352122" w:rsidRPr="001468AA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1468AA">
              <w:rPr>
                <w:rFonts w:asciiTheme="minorHAnsi" w:hAnsiTheme="minorHAnsi" w:cstheme="minorHAnsi"/>
                <w:color w:val="000000"/>
                <w:szCs w:val="22"/>
              </w:rPr>
              <w:t>Doradca zawodowy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8C7F" w14:textId="7B6B2C15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FA207" w14:textId="07A1A3F1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62A80E99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7F1FB" w14:textId="77777777" w:rsidR="00352122" w:rsidRPr="001468AA" w:rsidRDefault="00352122" w:rsidP="00352122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1468AA">
              <w:rPr>
                <w:rFonts w:asciiTheme="minorHAnsi" w:hAnsiTheme="minorHAnsi" w:cstheme="minorHAnsi"/>
                <w:bCs/>
                <w:szCs w:val="22"/>
              </w:rPr>
              <w:t xml:space="preserve">Wynagrodzenie za przeprowadzenie </w:t>
            </w:r>
          </w:p>
          <w:p w14:paraId="64086D7B" w14:textId="73BACE5F" w:rsidR="00352122" w:rsidRPr="001468AA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1468AA">
              <w:rPr>
                <w:rFonts w:asciiTheme="minorHAnsi" w:hAnsiTheme="minorHAnsi" w:cstheme="minorHAnsi"/>
                <w:bCs/>
                <w:szCs w:val="22"/>
              </w:rPr>
              <w:t>szkoleń zawodowych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2A2A" w14:textId="2ACFD6D7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150,00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6CF1" w14:textId="2A5D8E3C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261E4B64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D03E" w14:textId="552FDE3D" w:rsidR="00352122" w:rsidRPr="001468AA" w:rsidRDefault="00352122" w:rsidP="00352122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68AA">
              <w:rPr>
                <w:rFonts w:asciiTheme="minorHAnsi" w:hAnsiTheme="minorHAnsi" w:cstheme="minorHAnsi"/>
                <w:bCs/>
                <w:sz w:val="22"/>
                <w:szCs w:val="22"/>
              </w:rPr>
              <w:t>Pośrednik pracy / Trener Pracy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A35A" w14:textId="77DE340E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6 200,00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AEDB6" w14:textId="5C9BD739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</w:tc>
      </w:tr>
    </w:tbl>
    <w:p w14:paraId="6CEF1020" w14:textId="01985571" w:rsidR="00683F19" w:rsidRPr="00274477" w:rsidRDefault="00683F19" w:rsidP="00683F19">
      <w:pPr>
        <w:pStyle w:val="Nagwek2"/>
        <w:rPr>
          <w:rFonts w:asciiTheme="minorHAnsi" w:hAnsiTheme="minorHAnsi" w:cstheme="minorHAnsi"/>
        </w:rPr>
      </w:pPr>
      <w:r w:rsidRPr="00274477">
        <w:rPr>
          <w:rFonts w:asciiTheme="minorHAnsi" w:hAnsiTheme="minorHAnsi" w:cstheme="minorHAnsi"/>
        </w:rPr>
        <w:t>Wykaz sprzętu i mebli niezbędnych do zadań merytorycznych</w:t>
      </w:r>
    </w:p>
    <w:tbl>
      <w:tblPr>
        <w:tblW w:w="922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276"/>
      </w:tblGrid>
      <w:tr w:rsidR="00683F19" w:rsidRPr="00274477" w14:paraId="2C1ACBB1" w14:textId="77777777" w:rsidTr="00682BC1">
        <w:trPr>
          <w:trHeight w:val="284"/>
          <w:tblHeader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56F7858" w14:textId="174F2F9C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bookmarkStart w:id="2" w:name="_Hlk141181045"/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068736E" w14:textId="53E2298B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660AA57" w14:textId="77777777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miary,</w:t>
            </w:r>
          </w:p>
          <w:p w14:paraId="4DA0C7B8" w14:textId="4FF5FAEF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</w:t>
            </w:r>
            <w:r w:rsidR="004C197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 / zestaw)</w:t>
            </w:r>
          </w:p>
        </w:tc>
      </w:tr>
      <w:bookmarkEnd w:id="2"/>
      <w:tr w:rsidR="00683F19" w:rsidRPr="00274477" w14:paraId="1B964E0A" w14:textId="77777777" w:rsidTr="00682BC1">
        <w:trPr>
          <w:trHeight w:val="73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503B8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Laptop/zestaw komputerowy + oprogramowanie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6916" w14:textId="77777777" w:rsidR="00683F19" w:rsidRPr="00274477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4 700,00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C4D18" w14:textId="062C4FF9" w:rsidR="00683F19" w:rsidRPr="00274477" w:rsidRDefault="00683F19" w:rsidP="001468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274477" w14:paraId="602EAE68" w14:textId="77777777" w:rsidTr="00682BC1">
        <w:trPr>
          <w:trHeight w:val="73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F5E1D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Drukarka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A766D" w14:textId="77777777" w:rsidR="00683F19" w:rsidRPr="00274477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1 700,00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DD8AF" w14:textId="77777777" w:rsidR="00683F19" w:rsidRPr="00274477" w:rsidRDefault="00683F19" w:rsidP="001468AA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</w:tbl>
    <w:p w14:paraId="38A8A712" w14:textId="5DEF619E" w:rsidR="00F46D1F" w:rsidRPr="00274477" w:rsidRDefault="00F46D1F" w:rsidP="00F46D1F">
      <w:pPr>
        <w:pStyle w:val="Nagwek2"/>
        <w:keepNext/>
        <w:rPr>
          <w:rFonts w:asciiTheme="minorHAnsi" w:hAnsiTheme="minorHAnsi" w:cstheme="minorHAnsi"/>
        </w:rPr>
      </w:pPr>
      <w:r w:rsidRPr="00274477">
        <w:rPr>
          <w:rFonts w:asciiTheme="minorHAnsi" w:hAnsiTheme="minorHAnsi" w:cstheme="minorHAnsi"/>
        </w:rPr>
        <w:lastRenderedPageBreak/>
        <w:t>Wykaz innych wydatków w zadaniach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2126"/>
        <w:gridCol w:w="2276"/>
      </w:tblGrid>
      <w:tr w:rsidR="00840AC2" w:rsidRPr="00274477" w14:paraId="0842D05D" w14:textId="77777777" w:rsidTr="00EF6EB6">
        <w:trPr>
          <w:trHeight w:val="284"/>
          <w:tblHeader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7F74D16" w14:textId="77777777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Nazwa towaru/usługi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55513F7" w14:textId="77777777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BEBD5CE" w14:textId="06403118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Jednostka miary</w:t>
            </w:r>
          </w:p>
          <w:p w14:paraId="617608F7" w14:textId="2FB17FF3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(uczestnik/ </w:t>
            </w:r>
            <w:r w:rsidR="0018209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godz.</w:t>
            </w:r>
            <w:r w:rsidR="00182096" w:rsidRPr="00274477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footnoteReference w:id="3"/>
            </w:r>
            <w:r w:rsidR="00DC1207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/ </w:t>
            </w:r>
            <w:r w:rsidR="00745163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br/>
              <w:t xml:space="preserve">osoba /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dzień</w:t>
            </w:r>
            <w:r w:rsidR="00DC1207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szkoleniowy</w:t>
            </w:r>
            <w:r w:rsidR="00A32B44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/ pokój </w:t>
            </w:r>
            <w:r w:rsidR="0018209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)</w:t>
            </w:r>
          </w:p>
        </w:tc>
      </w:tr>
      <w:tr w:rsidR="00683F19" w:rsidRPr="00274477" w14:paraId="1CC3A01E" w14:textId="77777777" w:rsidTr="00EF6EB6">
        <w:trPr>
          <w:trHeight w:val="30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457EE" w14:textId="4CE15786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Zestaw szkoleniowy (np. długopis, teczka, notes/zeszyt, pendrive) </w:t>
            </w:r>
            <w:r w:rsidR="00EC4C87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–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zakup materiałów uzależniony od potrzeb i specyfiki szkoleniowej, warsztatowej, itp.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334F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AA5B2" w14:textId="77777777" w:rsidR="00683F19" w:rsidRPr="00274477" w:rsidRDefault="00683F19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uczestnik</w:t>
            </w:r>
          </w:p>
        </w:tc>
      </w:tr>
      <w:tr w:rsidR="00683F19" w:rsidRPr="00274477" w14:paraId="15721037" w14:textId="77777777" w:rsidTr="00EF6EB6">
        <w:trPr>
          <w:trHeight w:val="30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5B85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  <w:highlight w:val="yellow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Wynajem </w:t>
            </w:r>
            <w:proofErr w:type="spellStart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sal</w:t>
            </w:r>
            <w:proofErr w:type="spellEnd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 szkoleniowych na spotkania merytoryczne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AEC4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85,00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690EA" w14:textId="0DD77951" w:rsidR="00683F19" w:rsidRPr="00274477" w:rsidRDefault="00683F19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683F19" w:rsidRPr="00274477" w14:paraId="7C64F7E5" w14:textId="77777777" w:rsidTr="00EF6EB6">
        <w:trPr>
          <w:trHeight w:val="761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D217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Wynajem sali na spotkanie indywidualne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5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C9A78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EA677" w14:textId="1E55DA97" w:rsidR="00683F19" w:rsidRPr="00274477" w:rsidRDefault="00683F19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683F19" w:rsidRPr="00274477" w14:paraId="6993219F" w14:textId="77777777" w:rsidTr="00EF6EB6">
        <w:trPr>
          <w:trHeight w:val="75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71622" w14:textId="73EC48CD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Lunch/obiad/kolacja – wydatek kwalifikowalny, o ile wsparcie dla tej samej grupy osób w danym dniu trwa co najmniej 6 godz. lekcyjnych (tj.</w:t>
            </w:r>
            <w:r w:rsidR="00E4431B"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6</w:t>
            </w:r>
            <w:r w:rsidR="00E4431B"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x</w:t>
            </w:r>
            <w:r w:rsidR="00E4431B"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45 minut) i nie jest przewidziany zimny bufet – w przypadku kolacji wydatek kwalifikowalny, o ile finansowana jest usługa noclegowa.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FFA1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0CF06" w14:textId="4491905A" w:rsidR="00683F19" w:rsidRPr="00274477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274477" w14:paraId="3EE1BEA0" w14:textId="77777777" w:rsidTr="00EF6EB6">
        <w:trPr>
          <w:trHeight w:val="75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82AB6" w14:textId="3959EECE" w:rsidR="00683F19" w:rsidRPr="00274477" w:rsidRDefault="00683F19" w:rsidP="0028686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Przerwa kawowa (np. kawa, herbata, drobne słone lub słodkie przekąski)  dla min. 4 godz. lekcyjnych dla tej samej grupy osób w danym dniu)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B507F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2F13" w14:textId="71A15FAD" w:rsidR="00683F19" w:rsidRPr="00274477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274477" w14:paraId="4041AFF0" w14:textId="77777777" w:rsidTr="00EF6EB6">
        <w:trPr>
          <w:trHeight w:val="75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AC7FA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Catering/zimny bufet – wydatek kwalifikowalny, o ile forma wsparcia, w ramach której ma być świadczony zimny bufet dla tej samej grupy osób w danym dniu trwa co najmniej 4 godziny lekcyjne (tj. 4 x 45 minut) i nie jest przewidziany lunch/obiad.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6C971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40,00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8B09" w14:textId="79490AB6" w:rsidR="00683F19" w:rsidRPr="00274477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274477" w14:paraId="6E83D6EE" w14:textId="77777777" w:rsidTr="00EF6EB6">
        <w:trPr>
          <w:trHeight w:val="83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21208" w14:textId="25537894" w:rsidR="00683F19" w:rsidRPr="00733493" w:rsidRDefault="00352122" w:rsidP="00EE090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Opieka nad dzieckiem/ osobą zależną</w:t>
            </w:r>
            <w:r w:rsidR="00682BC1" w:rsidRPr="0073349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82BC1"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 jako wsparcie towarzyszące działaniom skierowanym na aktywi</w:t>
            </w:r>
            <w:bookmarkStart w:id="3" w:name="_GoBack"/>
            <w:bookmarkEnd w:id="3"/>
            <w:r w:rsidR="00682BC1"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zację zawodową)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95DB" w14:textId="366E5E4D" w:rsidR="00683F19" w:rsidRPr="00733493" w:rsidRDefault="00683F19" w:rsidP="00EE0906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3493">
              <w:rPr>
                <w:rFonts w:asciiTheme="minorHAnsi" w:hAnsiTheme="minorHAnsi" w:cstheme="minorHAnsi"/>
                <w:color w:val="000000" w:themeColor="text1"/>
                <w:szCs w:val="22"/>
              </w:rPr>
              <w:t>60,00</w:t>
            </w:r>
            <w:r w:rsidR="00352122" w:rsidRPr="00733493">
              <w:rPr>
                <w:rStyle w:val="Odwoanieprzypisudolnego"/>
                <w:rFonts w:asciiTheme="minorHAnsi" w:hAnsiTheme="minorHAnsi" w:cstheme="minorHAnsi"/>
                <w:color w:val="000000" w:themeColor="text1"/>
                <w:szCs w:val="22"/>
              </w:rPr>
              <w:footnoteReference w:id="6"/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66880" w14:textId="6E39B1FE" w:rsidR="00683F19" w:rsidRPr="00733493" w:rsidRDefault="00352122" w:rsidP="00EE0906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733493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375365F6" w14:textId="77777777" w:rsidTr="00EF6EB6">
        <w:trPr>
          <w:trHeight w:val="30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8D1DB" w14:textId="5926F185" w:rsidR="00352122" w:rsidRPr="00733493" w:rsidRDefault="00352122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733493">
              <w:rPr>
                <w:rFonts w:asciiTheme="minorHAnsi" w:hAnsiTheme="minorHAnsi" w:cstheme="minorHAnsi"/>
                <w:bCs/>
                <w:color w:val="000000"/>
                <w:szCs w:val="22"/>
              </w:rPr>
              <w:t>Stypendia szkoleniowe / stażowe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77C4D" w14:textId="41590E63" w:rsidR="00352122" w:rsidRPr="00733493" w:rsidRDefault="00352122" w:rsidP="000F4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493">
              <w:rPr>
                <w:rFonts w:asciiTheme="minorHAnsi" w:hAnsiTheme="minorHAnsi" w:cstheme="minorHAnsi"/>
                <w:sz w:val="22"/>
                <w:szCs w:val="22"/>
              </w:rPr>
              <w:t xml:space="preserve">Kwota określona w </w:t>
            </w:r>
            <w:r w:rsidRPr="00733493">
              <w:rPr>
                <w:rFonts w:asciiTheme="minorHAnsi" w:hAnsiTheme="minorHAnsi" w:cstheme="minorHAnsi"/>
                <w:i/>
                <w:sz w:val="22"/>
                <w:szCs w:val="22"/>
              </w:rPr>
              <w:t>Ustawie o promocji zatrudnienia i instytucjach rynku pracy</w:t>
            </w:r>
            <w:r w:rsidRPr="00733493">
              <w:rPr>
                <w:rFonts w:asciiTheme="minorHAnsi" w:hAnsiTheme="minorHAnsi" w:cstheme="minorHAnsi"/>
                <w:sz w:val="22"/>
                <w:szCs w:val="22"/>
              </w:rPr>
              <w:t xml:space="preserve"> obowiązująca na dzień rozpoczęcia szkolenia / stażu.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633A" w14:textId="63835DAC" w:rsidR="00352122" w:rsidRPr="00733493" w:rsidRDefault="00352122" w:rsidP="00093793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683F19" w:rsidRPr="00274477" w14:paraId="64FB4320" w14:textId="77777777" w:rsidTr="00EF6EB6">
        <w:trPr>
          <w:trHeight w:val="30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95FE5" w14:textId="77777777" w:rsidR="00683F19" w:rsidRPr="00733493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733493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Zwrot kosztów dojazdu uczestników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C2B5" w14:textId="77777777" w:rsidR="00683F19" w:rsidRPr="00733493" w:rsidRDefault="00683F19" w:rsidP="000F4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cennikiem najtańszego przewoźnika obsługującego trasę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96E2" w14:textId="51CF07E0" w:rsidR="00683F19" w:rsidRPr="00733493" w:rsidRDefault="00683F19" w:rsidP="00EE0906">
            <w:pPr>
              <w:pStyle w:val="Default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Wydatek kwalifikowalny w</w:t>
            </w:r>
            <w:r w:rsidR="008B0E4F"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związku z </w:t>
            </w:r>
            <w:r w:rsidR="000029B3"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uzasadnionymi potrzebami grupy docelowej, jedynie w</w:t>
            </w:r>
            <w:r w:rsidR="000F4182"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przypadku uczestniczenia we wsparciu oferowanym poza miejscem zamieszkania (np. koszty dojazdów dla osób niepełnosprawnych, bezrobotnych). Zaleca się aby podróż odbywała się publicznymi/</w:t>
            </w:r>
            <w:r w:rsidR="00EF6EB6"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zbiorowymi środkami transportu, z</w:t>
            </w:r>
            <w:r w:rsidR="000F4182"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33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wyjątkiem gdy na danym terenie są uzasadnione powody dla innej formy podróży.</w:t>
            </w:r>
          </w:p>
        </w:tc>
      </w:tr>
    </w:tbl>
    <w:p w14:paraId="164B1977" w14:textId="77777777" w:rsidR="00D73181" w:rsidRPr="00274477" w:rsidRDefault="00D73181" w:rsidP="00D73181">
      <w:pPr>
        <w:rPr>
          <w:rFonts w:asciiTheme="minorHAnsi" w:hAnsiTheme="minorHAnsi" w:cstheme="minorHAnsi"/>
          <w:szCs w:val="22"/>
        </w:rPr>
      </w:pPr>
    </w:p>
    <w:sectPr w:rsidR="00D73181" w:rsidRPr="00274477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F28F7" w14:textId="77777777" w:rsidR="001D68C8" w:rsidRDefault="001D68C8">
      <w:r>
        <w:separator/>
      </w:r>
    </w:p>
  </w:endnote>
  <w:endnote w:type="continuationSeparator" w:id="0">
    <w:p w14:paraId="56B51E47" w14:textId="77777777" w:rsidR="001D68C8" w:rsidRDefault="001D68C8">
      <w:r>
        <w:continuationSeparator/>
      </w:r>
    </w:p>
  </w:endnote>
  <w:endnote w:type="continuationNotice" w:id="1">
    <w:p w14:paraId="1F536FF8" w14:textId="77777777" w:rsidR="001D68C8" w:rsidRDefault="001D68C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CBF9620" w:rsidR="00DC21A6" w:rsidRPr="00B01F08" w:rsidRDefault="00DC21A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05C7E65C">
              <wp:extent cx="7267492" cy="522605"/>
              <wp:effectExtent l="0" t="0" r="0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2.2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" stroked="f">
              <v:textbox style="mso-fit-shape-to-text:t">
                <w:txbxContent>
                  <w:p w14:paraId="31AE508C" w14:textId="77777777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0CBF" w14:textId="77777777" w:rsidR="001D68C8" w:rsidRDefault="001D68C8">
      <w:r>
        <w:separator/>
      </w:r>
    </w:p>
  </w:footnote>
  <w:footnote w:type="continuationSeparator" w:id="0">
    <w:p w14:paraId="0EEEB60E" w14:textId="77777777" w:rsidR="001D68C8" w:rsidRDefault="001D68C8">
      <w:r>
        <w:continuationSeparator/>
      </w:r>
    </w:p>
  </w:footnote>
  <w:footnote w:type="continuationNotice" w:id="1">
    <w:p w14:paraId="604AD6DB" w14:textId="77777777" w:rsidR="001D68C8" w:rsidRDefault="001D68C8" w:rsidP="000632EE">
      <w:pPr>
        <w:spacing w:before="0" w:line="240" w:lineRule="auto"/>
      </w:pPr>
    </w:p>
  </w:footnote>
  <w:footnote w:id="2">
    <w:p w14:paraId="2631F0A7" w14:textId="7175926E" w:rsidR="003A4E35" w:rsidRPr="00E4060F" w:rsidRDefault="003A4E35" w:rsidP="00E4060F">
      <w:pPr>
        <w:pStyle w:val="Tekstprzypisudolnego"/>
        <w:spacing w:before="0" w:after="60" w:line="276" w:lineRule="auto"/>
        <w:rPr>
          <w:rFonts w:asciiTheme="minorHAnsi" w:hAnsiTheme="minorHAnsi" w:cstheme="minorHAnsi"/>
          <w:sz w:val="22"/>
          <w:szCs w:val="22"/>
        </w:rPr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  <w:r w:rsidR="00A721F4" w:rsidRPr="00E4060F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</w:t>
      </w:r>
      <w:r w:rsidR="001545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</w:footnote>
  <w:footnote w:id="3">
    <w:p w14:paraId="1C7669FB" w14:textId="1E3B899D" w:rsidR="00182096" w:rsidRPr="00182096" w:rsidRDefault="00182096" w:rsidP="00182096">
      <w:pPr>
        <w:pStyle w:val="Tekstprzypisudolnego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zegarowa.</w:t>
      </w:r>
    </w:p>
  </w:footnote>
  <w:footnote w:id="4">
    <w:p w14:paraId="6CB3C037" w14:textId="3D396CF5" w:rsidR="00683F19" w:rsidRPr="00182096" w:rsidRDefault="00683F19" w:rsidP="00182096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40 osób wyposażona m.in. w projektor multimedialny z ekranem, komputer, flipchart lub tablicę suchościeralną, bezprzewodowy dostęp do Internetu – koszt obejmuje zużycie energii elektrycznej. Cena obejmuje wynajem krótkoterminowy</w:t>
      </w:r>
      <w:r w:rsidR="007F16F9">
        <w:rPr>
          <w:rFonts w:asciiTheme="minorHAnsi" w:hAnsiTheme="minorHAnsi" w:cstheme="minorHAnsi"/>
          <w:sz w:val="22"/>
          <w:szCs w:val="22"/>
        </w:rPr>
        <w:t xml:space="preserve"> (</w:t>
      </w:r>
      <w:r w:rsidRPr="00182096">
        <w:rPr>
          <w:rFonts w:asciiTheme="minorHAnsi" w:hAnsiTheme="minorHAnsi" w:cstheme="minorHAnsi"/>
          <w:sz w:val="22"/>
          <w:szCs w:val="22"/>
        </w:rPr>
        <w:t>w przypadku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wynajmu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szkoleniowych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na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okres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dłuższy niż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80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godzin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zegarowych cena powinna być niższa).</w:t>
      </w:r>
    </w:p>
  </w:footnote>
  <w:footnote w:id="5">
    <w:p w14:paraId="46E1E5E8" w14:textId="77777777" w:rsidR="00683F19" w:rsidRPr="00E71DB2" w:rsidRDefault="00683F19" w:rsidP="00182096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10 osób wyposażona m.in. we flipchart lub tablicę suchościeralną, bezprzewodowy dostęp do Internetu – koszt obejmuje zużycie energii elektrycznej. Cena obejmuje wynajem krótkoterminowy (w przypadku wynajmu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82096">
        <w:rPr>
          <w:rFonts w:asciiTheme="minorHAnsi" w:hAnsiTheme="minorHAnsi" w:cstheme="minorHAnsi"/>
          <w:sz w:val="22"/>
          <w:szCs w:val="22"/>
        </w:rPr>
        <w:t xml:space="preserve"> szkoleniowych na okres dłuższy niż 80 godzin zegarowych cena powinna być niższa).</w:t>
      </w:r>
      <w:r w:rsidRPr="00E71DB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14:paraId="432481B8" w14:textId="7AC0A5A8" w:rsidR="00352122" w:rsidRDefault="00352122">
      <w:pPr>
        <w:pStyle w:val="Tekstprzypisudolnego"/>
      </w:pPr>
      <w:r w:rsidRPr="00352122">
        <w:rPr>
          <w:rStyle w:val="Odwoanieprzypisudolnego"/>
        </w:rPr>
        <w:footnoteRef/>
      </w:r>
      <w:r w:rsidRPr="00352122">
        <w:t xml:space="preserve"> </w:t>
      </w:r>
      <w:r w:rsidRPr="00352122">
        <w:rPr>
          <w:rFonts w:asciiTheme="minorHAnsi" w:hAnsiTheme="minorHAnsi"/>
        </w:rPr>
        <w:t>Stawka dot. opieki nad dzieckiem w formie 1:1. W przypadku korzystania z punktów opieki nad dzieckiem tj. żłobka/przedszkola/klubu malucha itp. należy przyjąć stawkę obowiązującą w danej placówce.</w:t>
      </w:r>
      <w:r>
        <w:rPr>
          <w:rFonts w:asciiTheme="minorHAnsi" w:hAnsiTheme="minorHAnsi"/>
        </w:rPr>
        <w:t xml:space="preserve"> </w:t>
      </w:r>
      <w:r w:rsidRPr="00C413DB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391D7694" w:rsidR="00DC21A6" w:rsidRDefault="00DC21A6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3A5AE994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A0E2E"/>
    <w:multiLevelType w:val="hybridMultilevel"/>
    <w:tmpl w:val="758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1F44FA70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5"/>
  </w:num>
  <w:num w:numId="8">
    <w:abstractNumId w:val="7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2"/>
  </w:num>
  <w:num w:numId="15">
    <w:abstractNumId w:val="33"/>
  </w:num>
  <w:num w:numId="16">
    <w:abstractNumId w:val="12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5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7"/>
  </w:num>
  <w:num w:numId="36">
    <w:abstractNumId w:val="13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6"/>
  </w:num>
  <w:num w:numId="42">
    <w:abstractNumId w:val="53"/>
  </w:num>
  <w:num w:numId="43">
    <w:abstractNumId w:val="31"/>
  </w:num>
  <w:num w:numId="44">
    <w:abstractNumId w:val="39"/>
  </w:num>
  <w:num w:numId="45">
    <w:abstractNumId w:val="1"/>
  </w:num>
  <w:num w:numId="46">
    <w:abstractNumId w:val="29"/>
  </w:num>
  <w:num w:numId="47">
    <w:abstractNumId w:val="51"/>
  </w:num>
  <w:num w:numId="48">
    <w:abstractNumId w:val="59"/>
  </w:num>
  <w:num w:numId="49">
    <w:abstractNumId w:val="8"/>
  </w:num>
  <w:num w:numId="50">
    <w:abstractNumId w:val="5"/>
  </w:num>
  <w:num w:numId="51">
    <w:abstractNumId w:val="16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1"/>
  </w:num>
  <w:num w:numId="60">
    <w:abstractNumId w:val="57"/>
  </w:num>
  <w:num w:numId="61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BF279DF-6968-47D3-8C09-C8BA4CE81F74}"/>
  </w:docVars>
  <w:rsids>
    <w:rsidRoot w:val="001A02A1"/>
    <w:rsid w:val="00002202"/>
    <w:rsid w:val="000029B3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77005"/>
    <w:rsid w:val="00080440"/>
    <w:rsid w:val="00080D83"/>
    <w:rsid w:val="00093793"/>
    <w:rsid w:val="00096DF3"/>
    <w:rsid w:val="00097546"/>
    <w:rsid w:val="000A3836"/>
    <w:rsid w:val="000D283E"/>
    <w:rsid w:val="000D2B30"/>
    <w:rsid w:val="000D5E15"/>
    <w:rsid w:val="000E09F8"/>
    <w:rsid w:val="000E1FB9"/>
    <w:rsid w:val="000E5509"/>
    <w:rsid w:val="000E6325"/>
    <w:rsid w:val="000F4182"/>
    <w:rsid w:val="000F5633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1EA3"/>
    <w:rsid w:val="001324EB"/>
    <w:rsid w:val="00135FF1"/>
    <w:rsid w:val="001427A0"/>
    <w:rsid w:val="001468AA"/>
    <w:rsid w:val="001520FF"/>
    <w:rsid w:val="001523D0"/>
    <w:rsid w:val="00154578"/>
    <w:rsid w:val="001547FC"/>
    <w:rsid w:val="00160A94"/>
    <w:rsid w:val="0016385B"/>
    <w:rsid w:val="00164AA3"/>
    <w:rsid w:val="00171A41"/>
    <w:rsid w:val="00175885"/>
    <w:rsid w:val="00182096"/>
    <w:rsid w:val="0018509C"/>
    <w:rsid w:val="00187033"/>
    <w:rsid w:val="00190C9A"/>
    <w:rsid w:val="00192B27"/>
    <w:rsid w:val="001A02A1"/>
    <w:rsid w:val="001A3D33"/>
    <w:rsid w:val="001B210F"/>
    <w:rsid w:val="001B764C"/>
    <w:rsid w:val="001B78B9"/>
    <w:rsid w:val="001C0810"/>
    <w:rsid w:val="001C6606"/>
    <w:rsid w:val="001C779F"/>
    <w:rsid w:val="001D059A"/>
    <w:rsid w:val="001D4683"/>
    <w:rsid w:val="001D68C8"/>
    <w:rsid w:val="001E4BE6"/>
    <w:rsid w:val="001F384F"/>
    <w:rsid w:val="001F6929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1C22"/>
    <w:rsid w:val="002425AE"/>
    <w:rsid w:val="00246D18"/>
    <w:rsid w:val="002529E4"/>
    <w:rsid w:val="00265B1D"/>
    <w:rsid w:val="00266601"/>
    <w:rsid w:val="00267131"/>
    <w:rsid w:val="00273B29"/>
    <w:rsid w:val="00274477"/>
    <w:rsid w:val="00274C88"/>
    <w:rsid w:val="00286075"/>
    <w:rsid w:val="0028686F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122"/>
    <w:rsid w:val="003526F5"/>
    <w:rsid w:val="0035482A"/>
    <w:rsid w:val="003569E2"/>
    <w:rsid w:val="003619F2"/>
    <w:rsid w:val="00361F63"/>
    <w:rsid w:val="00365820"/>
    <w:rsid w:val="003752AE"/>
    <w:rsid w:val="00387DAE"/>
    <w:rsid w:val="00391EF2"/>
    <w:rsid w:val="0039693E"/>
    <w:rsid w:val="003A1CA5"/>
    <w:rsid w:val="003A1E03"/>
    <w:rsid w:val="003A4E35"/>
    <w:rsid w:val="003B3C05"/>
    <w:rsid w:val="003B5E59"/>
    <w:rsid w:val="003C554F"/>
    <w:rsid w:val="003D3ABA"/>
    <w:rsid w:val="003D514C"/>
    <w:rsid w:val="003F2BEF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77E3A"/>
    <w:rsid w:val="00487D41"/>
    <w:rsid w:val="00491864"/>
    <w:rsid w:val="00492BD3"/>
    <w:rsid w:val="004A240C"/>
    <w:rsid w:val="004A354F"/>
    <w:rsid w:val="004A75E4"/>
    <w:rsid w:val="004B065A"/>
    <w:rsid w:val="004B38AD"/>
    <w:rsid w:val="004B70BD"/>
    <w:rsid w:val="004B714A"/>
    <w:rsid w:val="004C11FC"/>
    <w:rsid w:val="004C1976"/>
    <w:rsid w:val="004C303B"/>
    <w:rsid w:val="004D0B4E"/>
    <w:rsid w:val="004D65CB"/>
    <w:rsid w:val="004E0543"/>
    <w:rsid w:val="004E1EDE"/>
    <w:rsid w:val="004E6915"/>
    <w:rsid w:val="004F135E"/>
    <w:rsid w:val="004F4EE9"/>
    <w:rsid w:val="00504C05"/>
    <w:rsid w:val="00513794"/>
    <w:rsid w:val="0052111D"/>
    <w:rsid w:val="00524044"/>
    <w:rsid w:val="00533DA7"/>
    <w:rsid w:val="00540A34"/>
    <w:rsid w:val="00541E86"/>
    <w:rsid w:val="00543133"/>
    <w:rsid w:val="00546D99"/>
    <w:rsid w:val="0055128B"/>
    <w:rsid w:val="00552625"/>
    <w:rsid w:val="005543C9"/>
    <w:rsid w:val="00556002"/>
    <w:rsid w:val="00557D90"/>
    <w:rsid w:val="005604A2"/>
    <w:rsid w:val="00563789"/>
    <w:rsid w:val="00572CEC"/>
    <w:rsid w:val="005758C5"/>
    <w:rsid w:val="00575BF7"/>
    <w:rsid w:val="005760A9"/>
    <w:rsid w:val="00580CBD"/>
    <w:rsid w:val="00584122"/>
    <w:rsid w:val="005857A0"/>
    <w:rsid w:val="0058659E"/>
    <w:rsid w:val="00590803"/>
    <w:rsid w:val="00593FEA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16FC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77748"/>
    <w:rsid w:val="006817AD"/>
    <w:rsid w:val="00682BC1"/>
    <w:rsid w:val="00683F19"/>
    <w:rsid w:val="00685B74"/>
    <w:rsid w:val="0069621B"/>
    <w:rsid w:val="006A734C"/>
    <w:rsid w:val="006B1859"/>
    <w:rsid w:val="006B4267"/>
    <w:rsid w:val="006B4F4A"/>
    <w:rsid w:val="006E5B6F"/>
    <w:rsid w:val="006F0C63"/>
    <w:rsid w:val="006F209E"/>
    <w:rsid w:val="006F5203"/>
    <w:rsid w:val="0070442A"/>
    <w:rsid w:val="00707B49"/>
    <w:rsid w:val="00720CDE"/>
    <w:rsid w:val="00727F94"/>
    <w:rsid w:val="00733493"/>
    <w:rsid w:val="007337EB"/>
    <w:rsid w:val="00735149"/>
    <w:rsid w:val="00745163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16F9"/>
    <w:rsid w:val="007F318F"/>
    <w:rsid w:val="007F3623"/>
    <w:rsid w:val="007F5C6E"/>
    <w:rsid w:val="00806FFC"/>
    <w:rsid w:val="00812F83"/>
    <w:rsid w:val="00821053"/>
    <w:rsid w:val="008210DA"/>
    <w:rsid w:val="0082120A"/>
    <w:rsid w:val="008247FA"/>
    <w:rsid w:val="00827311"/>
    <w:rsid w:val="00834BB4"/>
    <w:rsid w:val="00835187"/>
    <w:rsid w:val="008377E4"/>
    <w:rsid w:val="00840AC2"/>
    <w:rsid w:val="008462A0"/>
    <w:rsid w:val="0084674D"/>
    <w:rsid w:val="00846A4B"/>
    <w:rsid w:val="00850623"/>
    <w:rsid w:val="00851B5B"/>
    <w:rsid w:val="008560ED"/>
    <w:rsid w:val="0087004F"/>
    <w:rsid w:val="00871209"/>
    <w:rsid w:val="008723E5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0E4F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3FC7"/>
    <w:rsid w:val="00907681"/>
    <w:rsid w:val="009150FB"/>
    <w:rsid w:val="00922E5F"/>
    <w:rsid w:val="00937B45"/>
    <w:rsid w:val="00946990"/>
    <w:rsid w:val="00947586"/>
    <w:rsid w:val="009520AD"/>
    <w:rsid w:val="00957755"/>
    <w:rsid w:val="00967990"/>
    <w:rsid w:val="00967D11"/>
    <w:rsid w:val="00967E51"/>
    <w:rsid w:val="009706FB"/>
    <w:rsid w:val="00971DAF"/>
    <w:rsid w:val="009726FB"/>
    <w:rsid w:val="00983731"/>
    <w:rsid w:val="00983B15"/>
    <w:rsid w:val="0099367B"/>
    <w:rsid w:val="009949F5"/>
    <w:rsid w:val="00996725"/>
    <w:rsid w:val="009A4ACC"/>
    <w:rsid w:val="009B635C"/>
    <w:rsid w:val="009C3385"/>
    <w:rsid w:val="009C3EFF"/>
    <w:rsid w:val="009C6EBA"/>
    <w:rsid w:val="009D11FE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2B44"/>
    <w:rsid w:val="00A34858"/>
    <w:rsid w:val="00A3600B"/>
    <w:rsid w:val="00A40DD3"/>
    <w:rsid w:val="00A44A94"/>
    <w:rsid w:val="00A4576B"/>
    <w:rsid w:val="00A4749F"/>
    <w:rsid w:val="00A579FD"/>
    <w:rsid w:val="00A61E09"/>
    <w:rsid w:val="00A67D79"/>
    <w:rsid w:val="00A70F95"/>
    <w:rsid w:val="00A721F4"/>
    <w:rsid w:val="00A7684F"/>
    <w:rsid w:val="00A830EB"/>
    <w:rsid w:val="00A8311B"/>
    <w:rsid w:val="00A86DB9"/>
    <w:rsid w:val="00A91DA2"/>
    <w:rsid w:val="00A93DFC"/>
    <w:rsid w:val="00A9627D"/>
    <w:rsid w:val="00AA0021"/>
    <w:rsid w:val="00AA28F7"/>
    <w:rsid w:val="00AA35B8"/>
    <w:rsid w:val="00AA3C63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03BDF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5C2"/>
    <w:rsid w:val="00BF737A"/>
    <w:rsid w:val="00C0146A"/>
    <w:rsid w:val="00C0302E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6B18"/>
    <w:rsid w:val="00C57BB1"/>
    <w:rsid w:val="00C62C24"/>
    <w:rsid w:val="00C635B6"/>
    <w:rsid w:val="00C8230E"/>
    <w:rsid w:val="00C83D9B"/>
    <w:rsid w:val="00C85687"/>
    <w:rsid w:val="00C918CB"/>
    <w:rsid w:val="00C91972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13415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3181"/>
    <w:rsid w:val="00D75325"/>
    <w:rsid w:val="00D9329A"/>
    <w:rsid w:val="00D93F4A"/>
    <w:rsid w:val="00D962E3"/>
    <w:rsid w:val="00DA2034"/>
    <w:rsid w:val="00DA46F9"/>
    <w:rsid w:val="00DA6C0C"/>
    <w:rsid w:val="00DB4AA0"/>
    <w:rsid w:val="00DC1207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1319B"/>
    <w:rsid w:val="00E16CC2"/>
    <w:rsid w:val="00E20DAA"/>
    <w:rsid w:val="00E21B83"/>
    <w:rsid w:val="00E21DB2"/>
    <w:rsid w:val="00E23E5C"/>
    <w:rsid w:val="00E26A4C"/>
    <w:rsid w:val="00E31615"/>
    <w:rsid w:val="00E34C44"/>
    <w:rsid w:val="00E35D85"/>
    <w:rsid w:val="00E4060F"/>
    <w:rsid w:val="00E425BF"/>
    <w:rsid w:val="00E43FFD"/>
    <w:rsid w:val="00E4431B"/>
    <w:rsid w:val="00E50DBA"/>
    <w:rsid w:val="00E538E2"/>
    <w:rsid w:val="00E539C6"/>
    <w:rsid w:val="00E57060"/>
    <w:rsid w:val="00E61D58"/>
    <w:rsid w:val="00E65137"/>
    <w:rsid w:val="00E71DB2"/>
    <w:rsid w:val="00E76EF5"/>
    <w:rsid w:val="00E80D7C"/>
    <w:rsid w:val="00E817D1"/>
    <w:rsid w:val="00E81ADD"/>
    <w:rsid w:val="00E87574"/>
    <w:rsid w:val="00E87616"/>
    <w:rsid w:val="00E90D06"/>
    <w:rsid w:val="00EA15ED"/>
    <w:rsid w:val="00EA3C26"/>
    <w:rsid w:val="00EA5C16"/>
    <w:rsid w:val="00EA5DF0"/>
    <w:rsid w:val="00EB13EF"/>
    <w:rsid w:val="00EB3DAF"/>
    <w:rsid w:val="00EB63E7"/>
    <w:rsid w:val="00EC021F"/>
    <w:rsid w:val="00EC4C87"/>
    <w:rsid w:val="00EC6559"/>
    <w:rsid w:val="00ED20D5"/>
    <w:rsid w:val="00ED3176"/>
    <w:rsid w:val="00ED333F"/>
    <w:rsid w:val="00ED5E54"/>
    <w:rsid w:val="00ED69A1"/>
    <w:rsid w:val="00EE070B"/>
    <w:rsid w:val="00EE0906"/>
    <w:rsid w:val="00EF000D"/>
    <w:rsid w:val="00EF42B6"/>
    <w:rsid w:val="00EF6EB6"/>
    <w:rsid w:val="00F04AA2"/>
    <w:rsid w:val="00F21ABB"/>
    <w:rsid w:val="00F25D79"/>
    <w:rsid w:val="00F26FE4"/>
    <w:rsid w:val="00F3168A"/>
    <w:rsid w:val="00F44261"/>
    <w:rsid w:val="00F45E8F"/>
    <w:rsid w:val="00F468CE"/>
    <w:rsid w:val="00F46D1F"/>
    <w:rsid w:val="00F46DBF"/>
    <w:rsid w:val="00F476BC"/>
    <w:rsid w:val="00F5032F"/>
    <w:rsid w:val="00F545A3"/>
    <w:rsid w:val="00F6163F"/>
    <w:rsid w:val="00F63408"/>
    <w:rsid w:val="00F722CD"/>
    <w:rsid w:val="00F83EE2"/>
    <w:rsid w:val="00F9022A"/>
    <w:rsid w:val="00F931CF"/>
    <w:rsid w:val="00F9364D"/>
    <w:rsid w:val="00F937C0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0AC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9022A"/>
    <w:pPr>
      <w:keepNext/>
      <w:spacing w:before="48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D13415"/>
    <w:pPr>
      <w:numPr>
        <w:numId w:val="2"/>
      </w:numPr>
      <w:shd w:val="clear" w:color="auto" w:fill="1F4E79" w:themeFill="accent1" w:themeFillShade="80"/>
      <w:spacing w:before="600" w:after="240"/>
      <w:ind w:left="425" w:hanging="425"/>
      <w:contextualSpacing w:val="0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D13415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F9022A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79DF-6968-47D3-8C09-C8BA4CE81F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F30793D-64CA-4651-8356-4AF0BAC7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</TotalTime>
  <Pages>4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towarów i usług 5.11</vt:lpstr>
    </vt:vector>
  </TitlesOfParts>
  <Company>UMWP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towarów i usług 5.11</dc:title>
  <dc:subject/>
  <dc:creator>Sulencka Anna;toda;Górska Alina</dc:creator>
  <cp:keywords>Taryfikator</cp:keywords>
  <cp:lastModifiedBy>Agnieszka Stefaniak</cp:lastModifiedBy>
  <cp:revision>4</cp:revision>
  <cp:lastPrinted>2024-11-29T10:42:00Z</cp:lastPrinted>
  <dcterms:created xsi:type="dcterms:W3CDTF">2024-12-02T11:20:00Z</dcterms:created>
  <dcterms:modified xsi:type="dcterms:W3CDTF">2024-12-04T10:42:00Z</dcterms:modified>
</cp:coreProperties>
</file>