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719FBD78" w:rsidR="004E3388" w:rsidRPr="005C0B42" w:rsidRDefault="00252F03" w:rsidP="005C0B42">
      <w:pPr>
        <w:pStyle w:val="Nagwek1"/>
      </w:pPr>
      <w:bookmarkStart w:id="2" w:name="_Toc164069039"/>
      <w:r w:rsidRPr="005C0B42">
        <w:t xml:space="preserve">Zasady pomiaru wskaźników w projekcie dofinansowanym </w:t>
      </w:r>
      <w:r w:rsidR="00F81BD7">
        <w:t xml:space="preserve"> </w:t>
      </w:r>
      <w:r w:rsidR="00DB4390">
        <w:t>z</w:t>
      </w:r>
      <w:r w:rsidRPr="005C0B42">
        <w:t xml:space="preserve"> </w:t>
      </w:r>
      <w:r w:rsidR="006B48D5">
        <w:t xml:space="preserve"> </w:t>
      </w:r>
      <w:r w:rsidR="00DB4390">
        <w:t xml:space="preserve">Europejskiego Funduszu Społecznego Plus w ramach programu regionalnego Fundusze Europejskie dla Pomorza </w:t>
      </w:r>
      <w:r w:rsidRPr="005C0B42">
        <w:t>2021-2027</w:t>
      </w:r>
      <w:bookmarkEnd w:id="0"/>
      <w:bookmarkEnd w:id="1"/>
      <w:bookmarkEnd w:id="2"/>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2870609D" w14:textId="20ED03F4" w:rsidR="00696F71" w:rsidRDefault="00F12019">
          <w:pPr>
            <w:pStyle w:val="Spistreci1"/>
            <w:rPr>
              <w:noProof/>
              <w:szCs w:val="22"/>
              <w:lang w:eastAsia="pl-PL"/>
            </w:rPr>
          </w:pPr>
          <w:r>
            <w:fldChar w:fldCharType="begin"/>
          </w:r>
          <w:r>
            <w:instrText xml:space="preserve"> TOC \o "1-3" \h \z \u </w:instrText>
          </w:r>
          <w:r>
            <w:fldChar w:fldCharType="separate"/>
          </w:r>
        </w:p>
        <w:p w14:paraId="7A373CC0" w14:textId="105CB73E" w:rsidR="00696F71" w:rsidRDefault="00B719F2">
          <w:pPr>
            <w:pStyle w:val="Spistreci2"/>
            <w:rPr>
              <w:noProof/>
              <w:szCs w:val="22"/>
              <w:lang w:eastAsia="pl-PL"/>
            </w:rPr>
          </w:pPr>
          <w:hyperlink w:anchor="_Toc164069040" w:history="1">
            <w:r w:rsidR="00696F71" w:rsidRPr="001D36B2">
              <w:rPr>
                <w:rStyle w:val="Hipercze"/>
                <w:noProof/>
              </w:rPr>
              <w:t>Podstawa prawna</w:t>
            </w:r>
            <w:r w:rsidR="00696F71">
              <w:rPr>
                <w:noProof/>
                <w:webHidden/>
              </w:rPr>
              <w:tab/>
            </w:r>
            <w:r w:rsidR="00696F71">
              <w:rPr>
                <w:noProof/>
                <w:webHidden/>
              </w:rPr>
              <w:fldChar w:fldCharType="begin"/>
            </w:r>
            <w:r w:rsidR="00696F71">
              <w:rPr>
                <w:noProof/>
                <w:webHidden/>
              </w:rPr>
              <w:instrText xml:space="preserve"> PAGEREF _Toc164069040 \h </w:instrText>
            </w:r>
            <w:r w:rsidR="00696F71">
              <w:rPr>
                <w:noProof/>
                <w:webHidden/>
              </w:rPr>
            </w:r>
            <w:r w:rsidR="00696F71">
              <w:rPr>
                <w:noProof/>
                <w:webHidden/>
              </w:rPr>
              <w:fldChar w:fldCharType="separate"/>
            </w:r>
            <w:r w:rsidR="00A64AB5">
              <w:rPr>
                <w:noProof/>
                <w:webHidden/>
              </w:rPr>
              <w:t>2</w:t>
            </w:r>
            <w:r w:rsidR="00696F71">
              <w:rPr>
                <w:noProof/>
                <w:webHidden/>
              </w:rPr>
              <w:fldChar w:fldCharType="end"/>
            </w:r>
          </w:hyperlink>
        </w:p>
        <w:p w14:paraId="34228A29" w14:textId="3D0793AD" w:rsidR="00696F71" w:rsidRDefault="00B719F2">
          <w:pPr>
            <w:pStyle w:val="Spistreci2"/>
            <w:rPr>
              <w:noProof/>
              <w:szCs w:val="22"/>
              <w:lang w:eastAsia="pl-PL"/>
            </w:rPr>
          </w:pPr>
          <w:hyperlink w:anchor="_Toc164069041" w:history="1">
            <w:r w:rsidR="00696F71" w:rsidRPr="001D36B2">
              <w:rPr>
                <w:rStyle w:val="Hipercze"/>
                <w:noProof/>
              </w:rPr>
              <w:t>Wykaz skrótów</w:t>
            </w:r>
            <w:r w:rsidR="00696F71">
              <w:rPr>
                <w:noProof/>
                <w:webHidden/>
              </w:rPr>
              <w:tab/>
            </w:r>
            <w:r w:rsidR="00696F71">
              <w:rPr>
                <w:noProof/>
                <w:webHidden/>
              </w:rPr>
              <w:fldChar w:fldCharType="begin"/>
            </w:r>
            <w:r w:rsidR="00696F71">
              <w:rPr>
                <w:noProof/>
                <w:webHidden/>
              </w:rPr>
              <w:instrText xml:space="preserve"> PAGEREF _Toc164069041 \h </w:instrText>
            </w:r>
            <w:r w:rsidR="00696F71">
              <w:rPr>
                <w:noProof/>
                <w:webHidden/>
              </w:rPr>
            </w:r>
            <w:r w:rsidR="00696F71">
              <w:rPr>
                <w:noProof/>
                <w:webHidden/>
              </w:rPr>
              <w:fldChar w:fldCharType="separate"/>
            </w:r>
            <w:r w:rsidR="00A64AB5">
              <w:rPr>
                <w:noProof/>
                <w:webHidden/>
              </w:rPr>
              <w:t>2</w:t>
            </w:r>
            <w:r w:rsidR="00696F71">
              <w:rPr>
                <w:noProof/>
                <w:webHidden/>
              </w:rPr>
              <w:fldChar w:fldCharType="end"/>
            </w:r>
          </w:hyperlink>
        </w:p>
        <w:p w14:paraId="2C1B1CD7" w14:textId="71F393FC" w:rsidR="00696F71" w:rsidRDefault="00B719F2">
          <w:pPr>
            <w:pStyle w:val="Spistreci2"/>
            <w:rPr>
              <w:noProof/>
              <w:szCs w:val="22"/>
              <w:lang w:eastAsia="pl-PL"/>
            </w:rPr>
          </w:pPr>
          <w:hyperlink w:anchor="_Toc164069042" w:history="1">
            <w:r w:rsidR="00696F71" w:rsidRPr="001D36B2">
              <w:rPr>
                <w:rStyle w:val="Hipercze"/>
                <w:noProof/>
              </w:rPr>
              <w:t>1.</w:t>
            </w:r>
            <w:r w:rsidR="00696F71">
              <w:rPr>
                <w:noProof/>
                <w:szCs w:val="22"/>
                <w:lang w:eastAsia="pl-PL"/>
              </w:rPr>
              <w:tab/>
            </w:r>
            <w:r w:rsidR="00696F71" w:rsidRPr="001D36B2">
              <w:rPr>
                <w:rStyle w:val="Hipercze"/>
                <w:noProof/>
              </w:rPr>
              <w:t>System wskaźników</w:t>
            </w:r>
            <w:r w:rsidR="00696F71">
              <w:rPr>
                <w:noProof/>
                <w:webHidden/>
              </w:rPr>
              <w:tab/>
            </w:r>
            <w:r w:rsidR="00696F71">
              <w:rPr>
                <w:noProof/>
                <w:webHidden/>
              </w:rPr>
              <w:fldChar w:fldCharType="begin"/>
            </w:r>
            <w:r w:rsidR="00696F71">
              <w:rPr>
                <w:noProof/>
                <w:webHidden/>
              </w:rPr>
              <w:instrText xml:space="preserve"> PAGEREF _Toc164069042 \h </w:instrText>
            </w:r>
            <w:r w:rsidR="00696F71">
              <w:rPr>
                <w:noProof/>
                <w:webHidden/>
              </w:rPr>
            </w:r>
            <w:r w:rsidR="00696F71">
              <w:rPr>
                <w:noProof/>
                <w:webHidden/>
              </w:rPr>
              <w:fldChar w:fldCharType="separate"/>
            </w:r>
            <w:r w:rsidR="00A64AB5">
              <w:rPr>
                <w:noProof/>
                <w:webHidden/>
              </w:rPr>
              <w:t>3</w:t>
            </w:r>
            <w:r w:rsidR="00696F71">
              <w:rPr>
                <w:noProof/>
                <w:webHidden/>
              </w:rPr>
              <w:fldChar w:fldCharType="end"/>
            </w:r>
          </w:hyperlink>
        </w:p>
        <w:p w14:paraId="272E24B2" w14:textId="1D543044" w:rsidR="00696F71" w:rsidRDefault="00B719F2">
          <w:pPr>
            <w:pStyle w:val="Spistreci3"/>
            <w:rPr>
              <w:noProof/>
              <w:szCs w:val="22"/>
              <w:lang w:eastAsia="pl-PL"/>
            </w:rPr>
          </w:pPr>
          <w:hyperlink w:anchor="_Toc164069043" w:history="1">
            <w:r w:rsidR="00696F71" w:rsidRPr="001D36B2">
              <w:rPr>
                <w:rStyle w:val="Hipercze"/>
                <w:noProof/>
              </w:rPr>
              <w:t>1.1.</w:t>
            </w:r>
            <w:r w:rsidR="00696F71">
              <w:rPr>
                <w:noProof/>
                <w:szCs w:val="22"/>
                <w:lang w:eastAsia="pl-PL"/>
              </w:rPr>
              <w:tab/>
            </w:r>
            <w:r w:rsidR="00696F71" w:rsidRPr="001D36B2">
              <w:rPr>
                <w:rStyle w:val="Hipercze"/>
                <w:noProof/>
              </w:rPr>
              <w:t>Struktura wskaźników</w:t>
            </w:r>
            <w:r w:rsidR="00696F71">
              <w:rPr>
                <w:noProof/>
                <w:webHidden/>
              </w:rPr>
              <w:tab/>
            </w:r>
            <w:r w:rsidR="00696F71">
              <w:rPr>
                <w:noProof/>
                <w:webHidden/>
              </w:rPr>
              <w:fldChar w:fldCharType="begin"/>
            </w:r>
            <w:r w:rsidR="00696F71">
              <w:rPr>
                <w:noProof/>
                <w:webHidden/>
              </w:rPr>
              <w:instrText xml:space="preserve"> PAGEREF _Toc164069043 \h </w:instrText>
            </w:r>
            <w:r w:rsidR="00696F71">
              <w:rPr>
                <w:noProof/>
                <w:webHidden/>
              </w:rPr>
            </w:r>
            <w:r w:rsidR="00696F71">
              <w:rPr>
                <w:noProof/>
                <w:webHidden/>
              </w:rPr>
              <w:fldChar w:fldCharType="separate"/>
            </w:r>
            <w:r w:rsidR="00A64AB5">
              <w:rPr>
                <w:noProof/>
                <w:webHidden/>
              </w:rPr>
              <w:t>3</w:t>
            </w:r>
            <w:r w:rsidR="00696F71">
              <w:rPr>
                <w:noProof/>
                <w:webHidden/>
              </w:rPr>
              <w:fldChar w:fldCharType="end"/>
            </w:r>
          </w:hyperlink>
        </w:p>
        <w:p w14:paraId="30428A2C" w14:textId="0BD3B6EE" w:rsidR="00696F71" w:rsidRDefault="00B719F2">
          <w:pPr>
            <w:pStyle w:val="Spistreci3"/>
            <w:rPr>
              <w:noProof/>
              <w:szCs w:val="22"/>
              <w:lang w:eastAsia="pl-PL"/>
            </w:rPr>
          </w:pPr>
          <w:hyperlink w:anchor="_Toc164069044" w:history="1">
            <w:r w:rsidR="00696F71" w:rsidRPr="001D36B2">
              <w:rPr>
                <w:rStyle w:val="Hipercze"/>
                <w:noProof/>
              </w:rPr>
              <w:t>1.2.</w:t>
            </w:r>
            <w:r w:rsidR="00696F71">
              <w:rPr>
                <w:noProof/>
                <w:szCs w:val="22"/>
                <w:lang w:eastAsia="pl-PL"/>
              </w:rPr>
              <w:tab/>
            </w:r>
            <w:r w:rsidR="00696F71" w:rsidRPr="001D36B2">
              <w:rPr>
                <w:rStyle w:val="Hipercze"/>
                <w:noProof/>
              </w:rPr>
              <w:t>Monitorowanie postępu rzeczowego</w:t>
            </w:r>
            <w:r w:rsidR="00696F71">
              <w:rPr>
                <w:noProof/>
                <w:webHidden/>
              </w:rPr>
              <w:tab/>
            </w:r>
            <w:r w:rsidR="00696F71">
              <w:rPr>
                <w:noProof/>
                <w:webHidden/>
              </w:rPr>
              <w:fldChar w:fldCharType="begin"/>
            </w:r>
            <w:r w:rsidR="00696F71">
              <w:rPr>
                <w:noProof/>
                <w:webHidden/>
              </w:rPr>
              <w:instrText xml:space="preserve"> PAGEREF _Toc164069044 \h </w:instrText>
            </w:r>
            <w:r w:rsidR="00696F71">
              <w:rPr>
                <w:noProof/>
                <w:webHidden/>
              </w:rPr>
            </w:r>
            <w:r w:rsidR="00696F71">
              <w:rPr>
                <w:noProof/>
                <w:webHidden/>
              </w:rPr>
              <w:fldChar w:fldCharType="separate"/>
            </w:r>
            <w:r w:rsidR="00A64AB5">
              <w:rPr>
                <w:noProof/>
                <w:webHidden/>
              </w:rPr>
              <w:t>3</w:t>
            </w:r>
            <w:r w:rsidR="00696F71">
              <w:rPr>
                <w:noProof/>
                <w:webHidden/>
              </w:rPr>
              <w:fldChar w:fldCharType="end"/>
            </w:r>
          </w:hyperlink>
        </w:p>
        <w:p w14:paraId="03BB74BB" w14:textId="0C3A42F6" w:rsidR="00696F71" w:rsidRDefault="00B719F2">
          <w:pPr>
            <w:pStyle w:val="Spistreci2"/>
            <w:rPr>
              <w:noProof/>
              <w:szCs w:val="22"/>
              <w:lang w:eastAsia="pl-PL"/>
            </w:rPr>
          </w:pPr>
          <w:hyperlink w:anchor="_Toc164069045" w:history="1">
            <w:r w:rsidR="00696F71" w:rsidRPr="001D36B2">
              <w:rPr>
                <w:rStyle w:val="Hipercze"/>
                <w:noProof/>
              </w:rPr>
              <w:t>2.</w:t>
            </w:r>
            <w:r w:rsidR="00696F71">
              <w:rPr>
                <w:noProof/>
                <w:szCs w:val="22"/>
                <w:lang w:eastAsia="pl-PL"/>
              </w:rPr>
              <w:tab/>
            </w:r>
            <w:r w:rsidR="00696F71" w:rsidRPr="001D36B2">
              <w:rPr>
                <w:rStyle w:val="Hipercze"/>
                <w:noProof/>
              </w:rPr>
              <w:t>Typologia wskaźników</w:t>
            </w:r>
            <w:r w:rsidR="00696F71">
              <w:rPr>
                <w:noProof/>
                <w:webHidden/>
              </w:rPr>
              <w:tab/>
            </w:r>
            <w:r w:rsidR="00696F71">
              <w:rPr>
                <w:noProof/>
                <w:webHidden/>
              </w:rPr>
              <w:fldChar w:fldCharType="begin"/>
            </w:r>
            <w:r w:rsidR="00696F71">
              <w:rPr>
                <w:noProof/>
                <w:webHidden/>
              </w:rPr>
              <w:instrText xml:space="preserve"> PAGEREF _Toc164069045 \h </w:instrText>
            </w:r>
            <w:r w:rsidR="00696F71">
              <w:rPr>
                <w:noProof/>
                <w:webHidden/>
              </w:rPr>
            </w:r>
            <w:r w:rsidR="00696F71">
              <w:rPr>
                <w:noProof/>
                <w:webHidden/>
              </w:rPr>
              <w:fldChar w:fldCharType="separate"/>
            </w:r>
            <w:r w:rsidR="00A64AB5">
              <w:rPr>
                <w:noProof/>
                <w:webHidden/>
              </w:rPr>
              <w:t>4</w:t>
            </w:r>
            <w:r w:rsidR="00696F71">
              <w:rPr>
                <w:noProof/>
                <w:webHidden/>
              </w:rPr>
              <w:fldChar w:fldCharType="end"/>
            </w:r>
          </w:hyperlink>
        </w:p>
        <w:p w14:paraId="4979ECFF" w14:textId="1F8034A2" w:rsidR="00696F71" w:rsidRDefault="00B719F2">
          <w:pPr>
            <w:pStyle w:val="Spistreci2"/>
            <w:rPr>
              <w:noProof/>
              <w:szCs w:val="22"/>
              <w:lang w:eastAsia="pl-PL"/>
            </w:rPr>
          </w:pPr>
          <w:hyperlink w:anchor="_Toc164069046" w:history="1">
            <w:r w:rsidR="00696F71" w:rsidRPr="001D36B2">
              <w:rPr>
                <w:rStyle w:val="Hipercze"/>
                <w:noProof/>
              </w:rPr>
              <w:t>3.</w:t>
            </w:r>
            <w:r w:rsidR="00696F71">
              <w:rPr>
                <w:noProof/>
                <w:szCs w:val="22"/>
                <w:lang w:eastAsia="pl-PL"/>
              </w:rPr>
              <w:tab/>
            </w:r>
            <w:r w:rsidR="00696F71" w:rsidRPr="001D36B2">
              <w:rPr>
                <w:rStyle w:val="Hipercze"/>
                <w:noProof/>
              </w:rPr>
              <w:t>Szczegółowe zasady dotyczące monitorowania wskaźników</w:t>
            </w:r>
            <w:r w:rsidR="00696F71">
              <w:rPr>
                <w:noProof/>
                <w:webHidden/>
              </w:rPr>
              <w:tab/>
            </w:r>
            <w:r w:rsidR="00696F71">
              <w:rPr>
                <w:noProof/>
                <w:webHidden/>
              </w:rPr>
              <w:fldChar w:fldCharType="begin"/>
            </w:r>
            <w:r w:rsidR="00696F71">
              <w:rPr>
                <w:noProof/>
                <w:webHidden/>
              </w:rPr>
              <w:instrText xml:space="preserve"> PAGEREF _Toc164069046 \h </w:instrText>
            </w:r>
            <w:r w:rsidR="00696F71">
              <w:rPr>
                <w:noProof/>
                <w:webHidden/>
              </w:rPr>
            </w:r>
            <w:r w:rsidR="00696F71">
              <w:rPr>
                <w:noProof/>
                <w:webHidden/>
              </w:rPr>
              <w:fldChar w:fldCharType="separate"/>
            </w:r>
            <w:r w:rsidR="00A64AB5">
              <w:rPr>
                <w:noProof/>
                <w:webHidden/>
              </w:rPr>
              <w:t>5</w:t>
            </w:r>
            <w:r w:rsidR="00696F71">
              <w:rPr>
                <w:noProof/>
                <w:webHidden/>
              </w:rPr>
              <w:fldChar w:fldCharType="end"/>
            </w:r>
          </w:hyperlink>
        </w:p>
        <w:p w14:paraId="6585BBEA" w14:textId="33D31894" w:rsidR="00696F71" w:rsidRDefault="00B719F2">
          <w:pPr>
            <w:pStyle w:val="Spistreci3"/>
            <w:rPr>
              <w:noProof/>
              <w:szCs w:val="22"/>
              <w:lang w:eastAsia="pl-PL"/>
            </w:rPr>
          </w:pPr>
          <w:hyperlink w:anchor="_Toc164069047" w:history="1">
            <w:r w:rsidR="00696F71" w:rsidRPr="001D36B2">
              <w:rPr>
                <w:rStyle w:val="Hipercze"/>
                <w:noProof/>
              </w:rPr>
              <w:t>3.1.</w:t>
            </w:r>
            <w:r w:rsidR="00696F71">
              <w:rPr>
                <w:noProof/>
                <w:szCs w:val="22"/>
                <w:lang w:eastAsia="pl-PL"/>
              </w:rPr>
              <w:tab/>
            </w:r>
            <w:r w:rsidR="00696F71" w:rsidRPr="001D36B2">
              <w:rPr>
                <w:rStyle w:val="Hipercze"/>
                <w:noProof/>
              </w:rPr>
              <w:t>Definicja uczestnika i podmiotu objętego wsparciem</w:t>
            </w:r>
            <w:r w:rsidR="00696F71">
              <w:rPr>
                <w:noProof/>
                <w:webHidden/>
              </w:rPr>
              <w:tab/>
            </w:r>
            <w:r w:rsidR="00696F71">
              <w:rPr>
                <w:noProof/>
                <w:webHidden/>
              </w:rPr>
              <w:fldChar w:fldCharType="begin"/>
            </w:r>
            <w:r w:rsidR="00696F71">
              <w:rPr>
                <w:noProof/>
                <w:webHidden/>
              </w:rPr>
              <w:instrText xml:space="preserve"> PAGEREF _Toc164069047 \h </w:instrText>
            </w:r>
            <w:r w:rsidR="00696F71">
              <w:rPr>
                <w:noProof/>
                <w:webHidden/>
              </w:rPr>
            </w:r>
            <w:r w:rsidR="00696F71">
              <w:rPr>
                <w:noProof/>
                <w:webHidden/>
              </w:rPr>
              <w:fldChar w:fldCharType="separate"/>
            </w:r>
            <w:r w:rsidR="00A64AB5">
              <w:rPr>
                <w:noProof/>
                <w:webHidden/>
              </w:rPr>
              <w:t>5</w:t>
            </w:r>
            <w:r w:rsidR="00696F71">
              <w:rPr>
                <w:noProof/>
                <w:webHidden/>
              </w:rPr>
              <w:fldChar w:fldCharType="end"/>
            </w:r>
          </w:hyperlink>
        </w:p>
        <w:p w14:paraId="5686F292" w14:textId="02430633" w:rsidR="00696F71" w:rsidRDefault="00B719F2">
          <w:pPr>
            <w:pStyle w:val="Spistreci3"/>
            <w:rPr>
              <w:noProof/>
              <w:szCs w:val="22"/>
              <w:lang w:eastAsia="pl-PL"/>
            </w:rPr>
          </w:pPr>
          <w:hyperlink w:anchor="_Toc164069048" w:history="1">
            <w:r w:rsidR="00696F71" w:rsidRPr="001D36B2">
              <w:rPr>
                <w:rStyle w:val="Hipercze"/>
                <w:noProof/>
              </w:rPr>
              <w:t>3.2.</w:t>
            </w:r>
            <w:r w:rsidR="00696F71">
              <w:rPr>
                <w:noProof/>
                <w:szCs w:val="22"/>
                <w:lang w:eastAsia="pl-PL"/>
              </w:rPr>
              <w:tab/>
            </w:r>
            <w:r w:rsidR="00696F71" w:rsidRPr="001D36B2">
              <w:rPr>
                <w:rStyle w:val="Hipercze"/>
                <w:noProof/>
              </w:rPr>
              <w:t>Zasady dotyczące doboru wskaźników w projekcie</w:t>
            </w:r>
            <w:r w:rsidR="00696F71">
              <w:rPr>
                <w:noProof/>
                <w:webHidden/>
              </w:rPr>
              <w:tab/>
            </w:r>
            <w:r w:rsidR="00696F71">
              <w:rPr>
                <w:noProof/>
                <w:webHidden/>
              </w:rPr>
              <w:fldChar w:fldCharType="begin"/>
            </w:r>
            <w:r w:rsidR="00696F71">
              <w:rPr>
                <w:noProof/>
                <w:webHidden/>
              </w:rPr>
              <w:instrText xml:space="preserve"> PAGEREF _Toc164069048 \h </w:instrText>
            </w:r>
            <w:r w:rsidR="00696F71">
              <w:rPr>
                <w:noProof/>
                <w:webHidden/>
              </w:rPr>
            </w:r>
            <w:r w:rsidR="00696F71">
              <w:rPr>
                <w:noProof/>
                <w:webHidden/>
              </w:rPr>
              <w:fldChar w:fldCharType="separate"/>
            </w:r>
            <w:r w:rsidR="00A64AB5">
              <w:rPr>
                <w:noProof/>
                <w:webHidden/>
              </w:rPr>
              <w:t>5</w:t>
            </w:r>
            <w:r w:rsidR="00696F71">
              <w:rPr>
                <w:noProof/>
                <w:webHidden/>
              </w:rPr>
              <w:fldChar w:fldCharType="end"/>
            </w:r>
          </w:hyperlink>
        </w:p>
        <w:p w14:paraId="1214C0D4" w14:textId="64B042BC" w:rsidR="00696F71" w:rsidRDefault="00B719F2">
          <w:pPr>
            <w:pStyle w:val="Spistreci3"/>
            <w:rPr>
              <w:noProof/>
              <w:szCs w:val="22"/>
              <w:lang w:eastAsia="pl-PL"/>
            </w:rPr>
          </w:pPr>
          <w:hyperlink w:anchor="_Toc164069049" w:history="1">
            <w:r w:rsidR="00696F71" w:rsidRPr="001D36B2">
              <w:rPr>
                <w:rStyle w:val="Hipercze"/>
                <w:noProof/>
              </w:rPr>
              <w:t>3.3.</w:t>
            </w:r>
            <w:r w:rsidR="00696F71">
              <w:rPr>
                <w:noProof/>
                <w:szCs w:val="22"/>
                <w:lang w:eastAsia="pl-PL"/>
              </w:rPr>
              <w:tab/>
            </w:r>
            <w:r w:rsidR="00696F71" w:rsidRPr="001D36B2">
              <w:rPr>
                <w:rStyle w:val="Hipercze"/>
                <w:noProof/>
              </w:rPr>
              <w:t>Zasady dotyczące pomiaru wskaźników w projekcie</w:t>
            </w:r>
            <w:r w:rsidR="00696F71">
              <w:rPr>
                <w:noProof/>
                <w:webHidden/>
              </w:rPr>
              <w:tab/>
            </w:r>
            <w:r w:rsidR="00696F71">
              <w:rPr>
                <w:noProof/>
                <w:webHidden/>
              </w:rPr>
              <w:fldChar w:fldCharType="begin"/>
            </w:r>
            <w:r w:rsidR="00696F71">
              <w:rPr>
                <w:noProof/>
                <w:webHidden/>
              </w:rPr>
              <w:instrText xml:space="preserve"> PAGEREF _Toc164069049 \h </w:instrText>
            </w:r>
            <w:r w:rsidR="00696F71">
              <w:rPr>
                <w:noProof/>
                <w:webHidden/>
              </w:rPr>
            </w:r>
            <w:r w:rsidR="00696F71">
              <w:rPr>
                <w:noProof/>
                <w:webHidden/>
              </w:rPr>
              <w:fldChar w:fldCharType="separate"/>
            </w:r>
            <w:r w:rsidR="00A64AB5">
              <w:rPr>
                <w:noProof/>
                <w:webHidden/>
              </w:rPr>
              <w:t>6</w:t>
            </w:r>
            <w:r w:rsidR="00696F71">
              <w:rPr>
                <w:noProof/>
                <w:webHidden/>
              </w:rPr>
              <w:fldChar w:fldCharType="end"/>
            </w:r>
          </w:hyperlink>
        </w:p>
        <w:p w14:paraId="41364D2C" w14:textId="38483CF2" w:rsidR="00696F71" w:rsidRDefault="00B719F2">
          <w:pPr>
            <w:pStyle w:val="Spistreci3"/>
            <w:rPr>
              <w:noProof/>
              <w:szCs w:val="22"/>
              <w:lang w:eastAsia="pl-PL"/>
            </w:rPr>
          </w:pPr>
          <w:hyperlink w:anchor="_Toc164069050" w:history="1">
            <w:r w:rsidR="00696F71" w:rsidRPr="001D36B2">
              <w:rPr>
                <w:rStyle w:val="Hipercze"/>
                <w:noProof/>
              </w:rPr>
              <w:t>3.4.</w:t>
            </w:r>
            <w:r w:rsidR="00696F71">
              <w:rPr>
                <w:noProof/>
                <w:szCs w:val="22"/>
                <w:lang w:eastAsia="pl-PL"/>
              </w:rPr>
              <w:tab/>
            </w:r>
            <w:r w:rsidR="00696F71" w:rsidRPr="001D36B2">
              <w:rPr>
                <w:rStyle w:val="Hipercze"/>
                <w:noProof/>
              </w:rPr>
              <w:t>Moment pomiaru wskaźników</w:t>
            </w:r>
            <w:r w:rsidR="00696F71">
              <w:rPr>
                <w:noProof/>
                <w:webHidden/>
              </w:rPr>
              <w:tab/>
            </w:r>
            <w:r w:rsidR="00696F71">
              <w:rPr>
                <w:noProof/>
                <w:webHidden/>
              </w:rPr>
              <w:fldChar w:fldCharType="begin"/>
            </w:r>
            <w:r w:rsidR="00696F71">
              <w:rPr>
                <w:noProof/>
                <w:webHidden/>
              </w:rPr>
              <w:instrText xml:space="preserve"> PAGEREF _Toc164069050 \h </w:instrText>
            </w:r>
            <w:r w:rsidR="00696F71">
              <w:rPr>
                <w:noProof/>
                <w:webHidden/>
              </w:rPr>
            </w:r>
            <w:r w:rsidR="00696F71">
              <w:rPr>
                <w:noProof/>
                <w:webHidden/>
              </w:rPr>
              <w:fldChar w:fldCharType="separate"/>
            </w:r>
            <w:r w:rsidR="00A64AB5">
              <w:rPr>
                <w:noProof/>
                <w:webHidden/>
              </w:rPr>
              <w:t>8</w:t>
            </w:r>
            <w:r w:rsidR="00696F71">
              <w:rPr>
                <w:noProof/>
                <w:webHidden/>
              </w:rPr>
              <w:fldChar w:fldCharType="end"/>
            </w:r>
          </w:hyperlink>
        </w:p>
        <w:p w14:paraId="5B3B67C0" w14:textId="35359D77" w:rsidR="00696F71" w:rsidRDefault="00B719F2">
          <w:pPr>
            <w:pStyle w:val="Spistreci2"/>
            <w:rPr>
              <w:noProof/>
              <w:szCs w:val="22"/>
              <w:lang w:eastAsia="pl-PL"/>
            </w:rPr>
          </w:pPr>
          <w:hyperlink w:anchor="_Toc164069051" w:history="1">
            <w:r w:rsidR="00696F71" w:rsidRPr="001D36B2">
              <w:rPr>
                <w:rStyle w:val="Hipercze"/>
                <w:noProof/>
              </w:rPr>
              <w:t>4.</w:t>
            </w:r>
            <w:r w:rsidR="00696F71">
              <w:rPr>
                <w:noProof/>
                <w:szCs w:val="22"/>
                <w:lang w:eastAsia="pl-PL"/>
              </w:rPr>
              <w:tab/>
            </w:r>
            <w:r w:rsidR="00696F71" w:rsidRPr="001D36B2">
              <w:rPr>
                <w:rStyle w:val="Hipercze"/>
                <w:noProof/>
              </w:rPr>
              <w:t>Dane uczestników i podmiotów biorących udział w projektach</w:t>
            </w:r>
            <w:r w:rsidR="00696F71">
              <w:rPr>
                <w:noProof/>
                <w:webHidden/>
              </w:rPr>
              <w:tab/>
            </w:r>
            <w:r w:rsidR="00696F71">
              <w:rPr>
                <w:noProof/>
                <w:webHidden/>
              </w:rPr>
              <w:fldChar w:fldCharType="begin"/>
            </w:r>
            <w:r w:rsidR="00696F71">
              <w:rPr>
                <w:noProof/>
                <w:webHidden/>
              </w:rPr>
              <w:instrText xml:space="preserve"> PAGEREF _Toc164069051 \h </w:instrText>
            </w:r>
            <w:r w:rsidR="00696F71">
              <w:rPr>
                <w:noProof/>
                <w:webHidden/>
              </w:rPr>
            </w:r>
            <w:r w:rsidR="00696F71">
              <w:rPr>
                <w:noProof/>
                <w:webHidden/>
              </w:rPr>
              <w:fldChar w:fldCharType="separate"/>
            </w:r>
            <w:r w:rsidR="00A64AB5">
              <w:rPr>
                <w:noProof/>
                <w:webHidden/>
              </w:rPr>
              <w:t>9</w:t>
            </w:r>
            <w:r w:rsidR="00696F71">
              <w:rPr>
                <w:noProof/>
                <w:webHidden/>
              </w:rPr>
              <w:fldChar w:fldCharType="end"/>
            </w:r>
          </w:hyperlink>
        </w:p>
        <w:p w14:paraId="110817A1" w14:textId="4D680492" w:rsidR="00696F71" w:rsidRDefault="00B719F2">
          <w:pPr>
            <w:pStyle w:val="Spistreci3"/>
            <w:rPr>
              <w:noProof/>
              <w:szCs w:val="22"/>
              <w:lang w:eastAsia="pl-PL"/>
            </w:rPr>
          </w:pPr>
          <w:hyperlink w:anchor="_Toc164069052" w:history="1">
            <w:r w:rsidR="00696F71" w:rsidRPr="001D36B2">
              <w:rPr>
                <w:rStyle w:val="Hipercze"/>
                <w:noProof/>
              </w:rPr>
              <w:t>4.1.</w:t>
            </w:r>
            <w:r w:rsidR="00696F71">
              <w:rPr>
                <w:noProof/>
                <w:szCs w:val="22"/>
                <w:lang w:eastAsia="pl-PL"/>
              </w:rPr>
              <w:tab/>
            </w:r>
            <w:r w:rsidR="00696F71" w:rsidRPr="001D36B2">
              <w:rPr>
                <w:rStyle w:val="Hipercze"/>
                <w:noProof/>
              </w:rPr>
              <w:t>Jakość danych</w:t>
            </w:r>
            <w:r w:rsidR="00696F71">
              <w:rPr>
                <w:noProof/>
                <w:webHidden/>
              </w:rPr>
              <w:tab/>
            </w:r>
            <w:r w:rsidR="00696F71">
              <w:rPr>
                <w:noProof/>
                <w:webHidden/>
              </w:rPr>
              <w:fldChar w:fldCharType="begin"/>
            </w:r>
            <w:r w:rsidR="00696F71">
              <w:rPr>
                <w:noProof/>
                <w:webHidden/>
              </w:rPr>
              <w:instrText xml:space="preserve"> PAGEREF _Toc164069052 \h </w:instrText>
            </w:r>
            <w:r w:rsidR="00696F71">
              <w:rPr>
                <w:noProof/>
                <w:webHidden/>
              </w:rPr>
            </w:r>
            <w:r w:rsidR="00696F71">
              <w:rPr>
                <w:noProof/>
                <w:webHidden/>
              </w:rPr>
              <w:fldChar w:fldCharType="separate"/>
            </w:r>
            <w:r w:rsidR="00A64AB5">
              <w:rPr>
                <w:noProof/>
                <w:webHidden/>
              </w:rPr>
              <w:t>9</w:t>
            </w:r>
            <w:r w:rsidR="00696F71">
              <w:rPr>
                <w:noProof/>
                <w:webHidden/>
              </w:rPr>
              <w:fldChar w:fldCharType="end"/>
            </w:r>
          </w:hyperlink>
        </w:p>
        <w:p w14:paraId="7E7F3E05" w14:textId="09691998" w:rsidR="00696F71" w:rsidRDefault="00B719F2">
          <w:pPr>
            <w:pStyle w:val="Spistreci3"/>
            <w:rPr>
              <w:noProof/>
              <w:szCs w:val="22"/>
              <w:lang w:eastAsia="pl-PL"/>
            </w:rPr>
          </w:pPr>
          <w:hyperlink w:anchor="_Toc164069053" w:history="1">
            <w:r w:rsidR="00696F71" w:rsidRPr="001D36B2">
              <w:rPr>
                <w:rStyle w:val="Hipercze"/>
                <w:noProof/>
              </w:rPr>
              <w:t>4.2.</w:t>
            </w:r>
            <w:r w:rsidR="00696F71">
              <w:rPr>
                <w:noProof/>
                <w:szCs w:val="22"/>
                <w:lang w:eastAsia="pl-PL"/>
              </w:rPr>
              <w:tab/>
            </w:r>
            <w:r w:rsidR="00696F71" w:rsidRPr="001D36B2">
              <w:rPr>
                <w:rStyle w:val="Hipercze"/>
                <w:noProof/>
              </w:rPr>
              <w:t>Przetwarzanie i agregowanie danych w CST2021</w:t>
            </w:r>
            <w:r w:rsidR="00696F71">
              <w:rPr>
                <w:noProof/>
                <w:webHidden/>
              </w:rPr>
              <w:tab/>
            </w:r>
            <w:r w:rsidR="00696F71">
              <w:rPr>
                <w:noProof/>
                <w:webHidden/>
              </w:rPr>
              <w:fldChar w:fldCharType="begin"/>
            </w:r>
            <w:r w:rsidR="00696F71">
              <w:rPr>
                <w:noProof/>
                <w:webHidden/>
              </w:rPr>
              <w:instrText xml:space="preserve"> PAGEREF _Toc164069053 \h </w:instrText>
            </w:r>
            <w:r w:rsidR="00696F71">
              <w:rPr>
                <w:noProof/>
                <w:webHidden/>
              </w:rPr>
            </w:r>
            <w:r w:rsidR="00696F71">
              <w:rPr>
                <w:noProof/>
                <w:webHidden/>
              </w:rPr>
              <w:fldChar w:fldCharType="separate"/>
            </w:r>
            <w:r w:rsidR="00A64AB5">
              <w:rPr>
                <w:noProof/>
                <w:webHidden/>
              </w:rPr>
              <w:t>9</w:t>
            </w:r>
            <w:r w:rsidR="00696F71">
              <w:rPr>
                <w:noProof/>
                <w:webHidden/>
              </w:rPr>
              <w:fldChar w:fldCharType="end"/>
            </w:r>
          </w:hyperlink>
        </w:p>
        <w:p w14:paraId="727B5168" w14:textId="0F0B9539" w:rsidR="00696F71" w:rsidRDefault="00B719F2">
          <w:pPr>
            <w:pStyle w:val="Spistreci3"/>
            <w:rPr>
              <w:noProof/>
              <w:szCs w:val="22"/>
              <w:lang w:eastAsia="pl-PL"/>
            </w:rPr>
          </w:pPr>
          <w:hyperlink w:anchor="_Toc164069054" w:history="1">
            <w:r w:rsidR="00696F71" w:rsidRPr="001D36B2">
              <w:rPr>
                <w:rStyle w:val="Hipercze"/>
                <w:noProof/>
              </w:rPr>
              <w:t>4.3.</w:t>
            </w:r>
            <w:r w:rsidR="00696F71">
              <w:rPr>
                <w:noProof/>
                <w:szCs w:val="22"/>
                <w:lang w:eastAsia="pl-PL"/>
              </w:rPr>
              <w:tab/>
            </w:r>
            <w:r w:rsidR="00696F71" w:rsidRPr="001D36B2">
              <w:rPr>
                <w:rStyle w:val="Hipercze"/>
                <w:noProof/>
              </w:rPr>
              <w:t>Zakres danych dotyczących uczestników projektów</w:t>
            </w:r>
            <w:r w:rsidR="00696F71">
              <w:rPr>
                <w:noProof/>
                <w:webHidden/>
              </w:rPr>
              <w:tab/>
            </w:r>
            <w:r w:rsidR="00696F71">
              <w:rPr>
                <w:noProof/>
                <w:webHidden/>
              </w:rPr>
              <w:fldChar w:fldCharType="begin"/>
            </w:r>
            <w:r w:rsidR="00696F71">
              <w:rPr>
                <w:noProof/>
                <w:webHidden/>
              </w:rPr>
              <w:instrText xml:space="preserve"> PAGEREF _Toc164069054 \h </w:instrText>
            </w:r>
            <w:r w:rsidR="00696F71">
              <w:rPr>
                <w:noProof/>
                <w:webHidden/>
              </w:rPr>
            </w:r>
            <w:r w:rsidR="00696F71">
              <w:rPr>
                <w:noProof/>
                <w:webHidden/>
              </w:rPr>
              <w:fldChar w:fldCharType="separate"/>
            </w:r>
            <w:r w:rsidR="00A64AB5">
              <w:rPr>
                <w:noProof/>
                <w:webHidden/>
              </w:rPr>
              <w:t>11</w:t>
            </w:r>
            <w:r w:rsidR="00696F71">
              <w:rPr>
                <w:noProof/>
                <w:webHidden/>
              </w:rPr>
              <w:fldChar w:fldCharType="end"/>
            </w:r>
          </w:hyperlink>
        </w:p>
        <w:p w14:paraId="7FEEEBE7" w14:textId="68C2489D" w:rsidR="00696F71" w:rsidRDefault="00B719F2">
          <w:pPr>
            <w:pStyle w:val="Spistreci2"/>
            <w:rPr>
              <w:noProof/>
              <w:szCs w:val="22"/>
              <w:lang w:eastAsia="pl-PL"/>
            </w:rPr>
          </w:pPr>
          <w:hyperlink w:anchor="_Toc164069055" w:history="1">
            <w:r w:rsidR="00696F71" w:rsidRPr="001D36B2">
              <w:rPr>
                <w:rStyle w:val="Hipercze"/>
                <w:noProof/>
              </w:rPr>
              <w:t>5.</w:t>
            </w:r>
            <w:r w:rsidR="00696F71">
              <w:rPr>
                <w:noProof/>
                <w:szCs w:val="22"/>
                <w:lang w:eastAsia="pl-PL"/>
              </w:rPr>
              <w:tab/>
            </w:r>
            <w:r w:rsidR="00696F71" w:rsidRPr="001D36B2">
              <w:rPr>
                <w:rStyle w:val="Hipercze"/>
                <w:noProof/>
              </w:rPr>
              <w:t>Załączniki do zasad pomiaru wskaźników w projekcie dofinansowanym z Europejskiego Funduszu Społecznego Plus w ramach programu regionalnego Fundusze Europejskie dla Pomorza 2021-2027</w:t>
            </w:r>
            <w:r w:rsidR="00696F71">
              <w:rPr>
                <w:noProof/>
                <w:webHidden/>
              </w:rPr>
              <w:tab/>
            </w:r>
            <w:r w:rsidR="00696F71">
              <w:rPr>
                <w:noProof/>
                <w:webHidden/>
              </w:rPr>
              <w:fldChar w:fldCharType="begin"/>
            </w:r>
            <w:r w:rsidR="00696F71">
              <w:rPr>
                <w:noProof/>
                <w:webHidden/>
              </w:rPr>
              <w:instrText xml:space="preserve"> PAGEREF _Toc164069055 \h </w:instrText>
            </w:r>
            <w:r w:rsidR="00696F71">
              <w:rPr>
                <w:noProof/>
                <w:webHidden/>
              </w:rPr>
            </w:r>
            <w:r w:rsidR="00696F71">
              <w:rPr>
                <w:noProof/>
                <w:webHidden/>
              </w:rPr>
              <w:fldChar w:fldCharType="separate"/>
            </w:r>
            <w:r w:rsidR="00A64AB5">
              <w:rPr>
                <w:noProof/>
                <w:webHidden/>
              </w:rPr>
              <w:t>12</w:t>
            </w:r>
            <w:r w:rsidR="00696F71">
              <w:rPr>
                <w:noProof/>
                <w:webHidden/>
              </w:rPr>
              <w:fldChar w:fldCharType="end"/>
            </w:r>
          </w:hyperlink>
        </w:p>
        <w:p w14:paraId="0BDCF721" w14:textId="795057EC" w:rsidR="00696F71" w:rsidRDefault="00B719F2">
          <w:pPr>
            <w:pStyle w:val="Spistreci3"/>
            <w:rPr>
              <w:noProof/>
              <w:szCs w:val="22"/>
              <w:lang w:eastAsia="pl-PL"/>
            </w:rPr>
          </w:pPr>
          <w:hyperlink w:anchor="_Toc164069056" w:history="1">
            <w:r w:rsidR="00696F71" w:rsidRPr="001D36B2">
              <w:rPr>
                <w:rStyle w:val="Hipercze"/>
                <w:noProof/>
              </w:rPr>
              <w:t>5.1.</w:t>
            </w:r>
            <w:r w:rsidR="00696F71">
              <w:rPr>
                <w:noProof/>
                <w:szCs w:val="22"/>
                <w:lang w:eastAsia="pl-PL"/>
              </w:rPr>
              <w:tab/>
            </w:r>
            <w:r w:rsidR="00696F71" w:rsidRPr="001D36B2">
              <w:rPr>
                <w:rStyle w:val="Hipercze"/>
                <w:noProof/>
              </w:rPr>
              <w:t>Załącznik nr 1 – Wykaz wskaźników dla naboru wraz z definicjami</w:t>
            </w:r>
            <w:r w:rsidR="00696F71">
              <w:rPr>
                <w:noProof/>
                <w:webHidden/>
              </w:rPr>
              <w:tab/>
            </w:r>
            <w:r w:rsidR="00696F71">
              <w:rPr>
                <w:noProof/>
                <w:webHidden/>
              </w:rPr>
              <w:fldChar w:fldCharType="begin"/>
            </w:r>
            <w:r w:rsidR="00696F71">
              <w:rPr>
                <w:noProof/>
                <w:webHidden/>
              </w:rPr>
              <w:instrText xml:space="preserve"> PAGEREF _Toc164069056 \h </w:instrText>
            </w:r>
            <w:r w:rsidR="00696F71">
              <w:rPr>
                <w:noProof/>
                <w:webHidden/>
              </w:rPr>
            </w:r>
            <w:r w:rsidR="00696F71">
              <w:rPr>
                <w:noProof/>
                <w:webHidden/>
              </w:rPr>
              <w:fldChar w:fldCharType="separate"/>
            </w:r>
            <w:r w:rsidR="00A64AB5">
              <w:rPr>
                <w:noProof/>
                <w:webHidden/>
              </w:rPr>
              <w:t>12</w:t>
            </w:r>
            <w:r w:rsidR="00696F71">
              <w:rPr>
                <w:noProof/>
                <w:webHidden/>
              </w:rPr>
              <w:fldChar w:fldCharType="end"/>
            </w:r>
          </w:hyperlink>
        </w:p>
        <w:p w14:paraId="37016A5B" w14:textId="1F4556FF" w:rsidR="00696F71" w:rsidRDefault="00B719F2">
          <w:pPr>
            <w:pStyle w:val="Spistreci3"/>
            <w:rPr>
              <w:noProof/>
              <w:szCs w:val="22"/>
              <w:lang w:eastAsia="pl-PL"/>
            </w:rPr>
          </w:pPr>
          <w:hyperlink w:anchor="_Toc164069057" w:history="1">
            <w:r w:rsidR="00696F71" w:rsidRPr="001D36B2">
              <w:rPr>
                <w:rStyle w:val="Hipercze"/>
                <w:noProof/>
              </w:rPr>
              <w:t>5.2.</w:t>
            </w:r>
            <w:r w:rsidR="00696F71">
              <w:rPr>
                <w:noProof/>
                <w:szCs w:val="22"/>
                <w:lang w:eastAsia="pl-PL"/>
              </w:rPr>
              <w:tab/>
            </w:r>
            <w:r w:rsidR="00696F71" w:rsidRPr="001D36B2">
              <w:rPr>
                <w:rStyle w:val="Hipercze"/>
                <w:noProof/>
              </w:rPr>
              <w:t>Załącznik nr 2 – Zakres danych nt. uczestników projektów współfinansowanych z EFS+ oraz podmiotów obejmowanych wsparciem gromadzonych w CST2021</w:t>
            </w:r>
            <w:r w:rsidR="00696F71">
              <w:rPr>
                <w:noProof/>
                <w:webHidden/>
              </w:rPr>
              <w:tab/>
            </w:r>
            <w:r w:rsidR="00696F71">
              <w:rPr>
                <w:noProof/>
                <w:webHidden/>
              </w:rPr>
              <w:fldChar w:fldCharType="begin"/>
            </w:r>
            <w:r w:rsidR="00696F71">
              <w:rPr>
                <w:noProof/>
                <w:webHidden/>
              </w:rPr>
              <w:instrText xml:space="preserve"> PAGEREF _Toc164069057 \h </w:instrText>
            </w:r>
            <w:r w:rsidR="00696F71">
              <w:rPr>
                <w:noProof/>
                <w:webHidden/>
              </w:rPr>
            </w:r>
            <w:r w:rsidR="00696F71">
              <w:rPr>
                <w:noProof/>
                <w:webHidden/>
              </w:rPr>
              <w:fldChar w:fldCharType="separate"/>
            </w:r>
            <w:r w:rsidR="00A64AB5">
              <w:rPr>
                <w:noProof/>
                <w:webHidden/>
              </w:rPr>
              <w:t>21</w:t>
            </w:r>
            <w:r w:rsidR="00696F71">
              <w:rPr>
                <w:noProof/>
                <w:webHidden/>
              </w:rPr>
              <w:fldChar w:fldCharType="end"/>
            </w:r>
          </w:hyperlink>
        </w:p>
        <w:p w14:paraId="4C59F5D5" w14:textId="5865BCB0" w:rsidR="00696F71" w:rsidRDefault="00B719F2">
          <w:pPr>
            <w:pStyle w:val="Spistreci3"/>
            <w:rPr>
              <w:noProof/>
              <w:szCs w:val="22"/>
              <w:lang w:eastAsia="pl-PL"/>
            </w:rPr>
          </w:pPr>
          <w:hyperlink w:anchor="_Toc164069393" w:history="1">
            <w:r w:rsidR="00696F71" w:rsidRPr="001D36B2">
              <w:rPr>
                <w:rStyle w:val="Hipercze"/>
                <w:noProof/>
              </w:rPr>
              <w:t>5.3.</w:t>
            </w:r>
            <w:r w:rsidR="00696F71">
              <w:rPr>
                <w:noProof/>
                <w:szCs w:val="22"/>
                <w:lang w:eastAsia="pl-PL"/>
              </w:rPr>
              <w:tab/>
            </w:r>
            <w:r w:rsidR="00696F71" w:rsidRPr="001D36B2">
              <w:rPr>
                <w:rStyle w:val="Hipercze"/>
                <w:noProof/>
              </w:rPr>
              <w:t>Załącznik nr 3 – Przykładowy wzór oświadczenia uczestnika projektu nt. jego sytuacji po zakończeniu udziału w projekcie</w:t>
            </w:r>
            <w:r w:rsidR="00696F71">
              <w:rPr>
                <w:noProof/>
                <w:webHidden/>
              </w:rPr>
              <w:tab/>
            </w:r>
            <w:r w:rsidR="00696F71">
              <w:rPr>
                <w:noProof/>
                <w:webHidden/>
              </w:rPr>
              <w:fldChar w:fldCharType="begin"/>
            </w:r>
            <w:r w:rsidR="00696F71">
              <w:rPr>
                <w:noProof/>
                <w:webHidden/>
              </w:rPr>
              <w:instrText xml:space="preserve"> PAGEREF _Toc164069393 \h </w:instrText>
            </w:r>
            <w:r w:rsidR="00696F71">
              <w:rPr>
                <w:noProof/>
                <w:webHidden/>
              </w:rPr>
            </w:r>
            <w:r w:rsidR="00696F71">
              <w:rPr>
                <w:noProof/>
                <w:webHidden/>
              </w:rPr>
              <w:fldChar w:fldCharType="separate"/>
            </w:r>
            <w:r w:rsidR="00A64AB5">
              <w:rPr>
                <w:noProof/>
                <w:webHidden/>
              </w:rPr>
              <w:t>25</w:t>
            </w:r>
            <w:r w:rsidR="00696F71">
              <w:rPr>
                <w:noProof/>
                <w:webHidden/>
              </w:rPr>
              <w:fldChar w:fldCharType="end"/>
            </w:r>
          </w:hyperlink>
        </w:p>
        <w:p w14:paraId="262BF962" w14:textId="6E00242A" w:rsidR="001A7111" w:rsidRDefault="00F12019" w:rsidP="0041610C">
          <w:pPr>
            <w:pStyle w:val="Spistreci2"/>
            <w:ind w:left="426"/>
          </w:pPr>
          <w:r>
            <w:fldChar w:fldCharType="end"/>
          </w:r>
        </w:p>
        <w:p w14:paraId="07A400AB" w14:textId="019E04D4" w:rsidR="0084799B" w:rsidRPr="001A7111" w:rsidRDefault="00B719F2" w:rsidP="001A7111"/>
      </w:sdtContent>
    </w:sdt>
    <w:p w14:paraId="7FD315B7" w14:textId="2D1F2C4A" w:rsidR="009E1AB2" w:rsidRPr="005636C5" w:rsidRDefault="009E1AB2" w:rsidP="00C616D6">
      <w:pPr>
        <w:pStyle w:val="Nagwek2"/>
        <w:numPr>
          <w:ilvl w:val="0"/>
          <w:numId w:val="0"/>
        </w:numPr>
        <w:ind w:left="426" w:hanging="426"/>
      </w:pPr>
      <w:bookmarkStart w:id="3" w:name="_Toc164069040"/>
      <w:r w:rsidRPr="009E1AB2">
        <w:lastRenderedPageBreak/>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64069041"/>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64069042"/>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64069043"/>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EC2781">
      <w:pPr>
        <w:pStyle w:val="Akapitzlist"/>
        <w:numPr>
          <w:ilvl w:val="1"/>
          <w:numId w:val="29"/>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64069044"/>
      <w:r w:rsidRPr="00EE2AAD">
        <w:t xml:space="preserve">Monitorowanie postępu </w:t>
      </w:r>
      <w:r w:rsidRPr="006C50C1">
        <w:t>rzeczowego</w:t>
      </w:r>
      <w:bookmarkEnd w:id="20"/>
    </w:p>
    <w:p w14:paraId="6D441190" w14:textId="2B8E845A" w:rsidR="00A75F50" w:rsidRDefault="00A75F50" w:rsidP="00EC2781">
      <w:pPr>
        <w:pStyle w:val="Akapitzlist"/>
        <w:numPr>
          <w:ilvl w:val="0"/>
          <w:numId w:val="37"/>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EC2781">
      <w:pPr>
        <w:pStyle w:val="Akapitzlist"/>
        <w:numPr>
          <w:ilvl w:val="0"/>
          <w:numId w:val="37"/>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EC2781">
      <w:pPr>
        <w:pStyle w:val="Akapitzlist"/>
        <w:numPr>
          <w:ilvl w:val="0"/>
          <w:numId w:val="37"/>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EC2781">
      <w:pPr>
        <w:pStyle w:val="Akapitzlist"/>
        <w:numPr>
          <w:ilvl w:val="0"/>
          <w:numId w:val="37"/>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64069045"/>
      <w:r w:rsidRPr="00083E30">
        <w:lastRenderedPageBreak/>
        <w:t>Typologia wskaźników</w:t>
      </w:r>
      <w:bookmarkEnd w:id="22"/>
    </w:p>
    <w:p w14:paraId="7B31ED12" w14:textId="77777777" w:rsidR="00854332" w:rsidRPr="00E72016"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EC2781">
      <w:pPr>
        <w:pStyle w:val="Akapitzlist"/>
        <w:numPr>
          <w:ilvl w:val="1"/>
          <w:numId w:val="30"/>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EC2781">
      <w:pPr>
        <w:pStyle w:val="Akapitzlist"/>
        <w:numPr>
          <w:ilvl w:val="2"/>
          <w:numId w:val="4"/>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EC2781">
      <w:pPr>
        <w:pStyle w:val="Akapitzlist"/>
        <w:numPr>
          <w:ilvl w:val="0"/>
          <w:numId w:val="3"/>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64069046"/>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64069047"/>
      <w:r w:rsidRPr="0031286D">
        <w:t>Definicja uczestnika i podmiotu objętego wsparciem</w:t>
      </w:r>
      <w:bookmarkEnd w:id="24"/>
    </w:p>
    <w:p w14:paraId="19330339" w14:textId="174F5725"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EC2781">
      <w:pPr>
        <w:pStyle w:val="Akapitzlist"/>
        <w:numPr>
          <w:ilvl w:val="0"/>
          <w:numId w:val="5"/>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EC2781">
      <w:pPr>
        <w:pStyle w:val="Akapitzlist"/>
        <w:numPr>
          <w:ilvl w:val="0"/>
          <w:numId w:val="5"/>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64069048"/>
      <w:r w:rsidRPr="00B062BE">
        <w:t>Zasady dotyczące doboru wskaźników w projekcie</w:t>
      </w:r>
      <w:bookmarkEnd w:id="25"/>
    </w:p>
    <w:p w14:paraId="7AD2093E" w14:textId="27DC0032" w:rsidR="00A65BEF"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EC2781">
      <w:pPr>
        <w:pStyle w:val="Akapitzlist"/>
        <w:numPr>
          <w:ilvl w:val="0"/>
          <w:numId w:val="6"/>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64069049"/>
      <w:r w:rsidRPr="0031286D">
        <w:lastRenderedPageBreak/>
        <w:t>Zasady dotyczące pomiaru wskaźników w projekcie</w:t>
      </w:r>
      <w:bookmarkEnd w:id="26"/>
    </w:p>
    <w:p w14:paraId="4019BE8D" w14:textId="3D557E4D" w:rsidR="00A65BEF"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EC2781">
      <w:pPr>
        <w:pStyle w:val="Akapitzlist"/>
        <w:numPr>
          <w:ilvl w:val="0"/>
          <w:numId w:val="7"/>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Urz. UE L 119 z 04.05.2016, str. 1, z późn.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EC2781">
      <w:pPr>
        <w:pStyle w:val="Akapitzlist"/>
        <w:numPr>
          <w:ilvl w:val="0"/>
          <w:numId w:val="7"/>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6BC858A6"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 xml:space="preserve">(tj. przerwanie udziału w projekcie przed </w:t>
      </w:r>
      <w:r w:rsidRPr="009D5055">
        <w:rPr>
          <w:rFonts w:cs="Arial"/>
        </w:rPr>
        <w:lastRenderedPageBreak/>
        <w:t>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EC2781">
      <w:pPr>
        <w:pStyle w:val="Akapitzlist"/>
        <w:numPr>
          <w:ilvl w:val="0"/>
          <w:numId w:val="7"/>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EC2781">
      <w:pPr>
        <w:pStyle w:val="Akapitzlist"/>
        <w:numPr>
          <w:ilvl w:val="0"/>
          <w:numId w:val="7"/>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EC2781">
      <w:pPr>
        <w:pStyle w:val="Akapitzlist"/>
        <w:numPr>
          <w:ilvl w:val="0"/>
          <w:numId w:val="7"/>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64069050"/>
      <w:r w:rsidRPr="00367E8D">
        <w:lastRenderedPageBreak/>
        <w:t>Moment pomiaru wskaźników</w:t>
      </w:r>
      <w:bookmarkEnd w:id="27"/>
    </w:p>
    <w:p w14:paraId="6963A9C8" w14:textId="0F31BD45" w:rsidR="00367E8D" w:rsidRDefault="00367E8D" w:rsidP="00EC2781">
      <w:pPr>
        <w:pStyle w:val="Akapitzlist"/>
        <w:numPr>
          <w:ilvl w:val="0"/>
          <w:numId w:val="8"/>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22ABEC70" w:rsidR="00367E8D" w:rsidRPr="00984136" w:rsidRDefault="00367E8D" w:rsidP="00EC2781">
      <w:pPr>
        <w:pStyle w:val="Akapitzlist"/>
        <w:numPr>
          <w:ilvl w:val="0"/>
          <w:numId w:val="8"/>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 xml:space="preserve">załączniku nr </w:t>
      </w:r>
      <w:r w:rsidR="00884F9B">
        <w:rPr>
          <w:rFonts w:cs="Arial"/>
        </w:rPr>
        <w:t>3</w:t>
      </w:r>
      <w:r w:rsidR="00884F9B" w:rsidRPr="004C1C84">
        <w:rPr>
          <w:rFonts w:cs="Arial"/>
        </w:rPr>
        <w:t xml:space="preserve"> </w:t>
      </w:r>
      <w:r w:rsidR="00984136" w:rsidRPr="004C1C84">
        <w:rPr>
          <w:rFonts w:cs="Arial"/>
        </w:rPr>
        <w:t>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p>
    <w:p w14:paraId="4345A21D" w14:textId="1D146C50" w:rsidR="00367E8D" w:rsidRDefault="00367E8D" w:rsidP="00EC2781">
      <w:pPr>
        <w:pStyle w:val="Akapitzlist"/>
        <w:numPr>
          <w:ilvl w:val="0"/>
          <w:numId w:val="8"/>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2"/>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EC2781">
      <w:pPr>
        <w:pStyle w:val="Akapitzlist"/>
        <w:numPr>
          <w:ilvl w:val="0"/>
          <w:numId w:val="8"/>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EC2781">
      <w:pPr>
        <w:pStyle w:val="Akapitzlist"/>
        <w:numPr>
          <w:ilvl w:val="0"/>
          <w:numId w:val="8"/>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64069051"/>
      <w:r w:rsidRPr="005B71BA">
        <w:lastRenderedPageBreak/>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64069052"/>
      <w:r w:rsidRPr="005E175A">
        <w:t>Jakość danych</w:t>
      </w:r>
      <w:bookmarkEnd w:id="29"/>
    </w:p>
    <w:p w14:paraId="0C1DE033" w14:textId="77777777"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EC2781">
      <w:pPr>
        <w:pStyle w:val="Akapitzlist"/>
        <w:numPr>
          <w:ilvl w:val="1"/>
          <w:numId w:val="31"/>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EC2781">
      <w:pPr>
        <w:pStyle w:val="Akapitzlist"/>
        <w:numPr>
          <w:ilvl w:val="0"/>
          <w:numId w:val="9"/>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EC2781">
      <w:pPr>
        <w:pStyle w:val="Akapitzlist"/>
        <w:numPr>
          <w:ilvl w:val="0"/>
          <w:numId w:val="9"/>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EC2781">
      <w:pPr>
        <w:pStyle w:val="Akapitzlist"/>
        <w:numPr>
          <w:ilvl w:val="1"/>
          <w:numId w:val="32"/>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EC2781">
      <w:pPr>
        <w:pStyle w:val="Akapitzlist"/>
        <w:numPr>
          <w:ilvl w:val="1"/>
          <w:numId w:val="32"/>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EC2781">
      <w:pPr>
        <w:pStyle w:val="Akapitzlist"/>
        <w:numPr>
          <w:ilvl w:val="1"/>
          <w:numId w:val="32"/>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EC2781">
      <w:pPr>
        <w:pStyle w:val="Akapitzlist"/>
        <w:numPr>
          <w:ilvl w:val="1"/>
          <w:numId w:val="32"/>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64069053"/>
      <w:r w:rsidRPr="005B71BA">
        <w:t>Przetwarzanie i agregowanie danych w</w:t>
      </w:r>
      <w:r w:rsidR="005B71BA" w:rsidRPr="005B71BA">
        <w:t xml:space="preserve"> CST2021</w:t>
      </w:r>
      <w:bookmarkEnd w:id="30"/>
    </w:p>
    <w:p w14:paraId="231CA223" w14:textId="64F243BA"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EC2781">
      <w:pPr>
        <w:pStyle w:val="Akapitzlist"/>
        <w:numPr>
          <w:ilvl w:val="0"/>
          <w:numId w:val="10"/>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EC2781">
      <w:pPr>
        <w:pStyle w:val="Akapitzlist"/>
        <w:numPr>
          <w:ilvl w:val="0"/>
          <w:numId w:val="10"/>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3"/>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EC2781">
      <w:pPr>
        <w:pStyle w:val="Akapitzlist"/>
        <w:numPr>
          <w:ilvl w:val="0"/>
          <w:numId w:val="10"/>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EC2781">
      <w:pPr>
        <w:pStyle w:val="Akapitzlist"/>
        <w:numPr>
          <w:ilvl w:val="0"/>
          <w:numId w:val="10"/>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64069054"/>
      <w:r w:rsidRPr="005B71BA">
        <w:t>Zakres danych dotyczących uczestników projektów</w:t>
      </w:r>
      <w:bookmarkEnd w:id="31"/>
    </w:p>
    <w:p w14:paraId="37B40518" w14:textId="28A7DC3A"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4"/>
      </w:r>
      <w:r w:rsidRPr="004A2CBC">
        <w:rPr>
          <w:rFonts w:cs="Arial"/>
        </w:rPr>
        <w:t>.</w:t>
      </w:r>
    </w:p>
    <w:p w14:paraId="404CF3E8" w14:textId="34495679" w:rsidR="005B71BA" w:rsidRDefault="005B71BA" w:rsidP="00EC2781">
      <w:pPr>
        <w:pStyle w:val="Akapitzlist"/>
        <w:numPr>
          <w:ilvl w:val="0"/>
          <w:numId w:val="11"/>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EC2781">
      <w:pPr>
        <w:pStyle w:val="Akapitzlist"/>
        <w:numPr>
          <w:ilvl w:val="0"/>
          <w:numId w:val="11"/>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164069055"/>
      <w:bookmarkStart w:id="33"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2"/>
    </w:p>
    <w:p w14:paraId="507ED284" w14:textId="5D18874D" w:rsidR="00E122C6" w:rsidRPr="000B0EC7" w:rsidRDefault="00E122C6" w:rsidP="000B0EC7">
      <w:pPr>
        <w:pStyle w:val="Nagwek3"/>
      </w:pPr>
      <w:bookmarkStart w:id="34" w:name="_Toc164069056"/>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4"/>
    </w:p>
    <w:p w14:paraId="174D24EA" w14:textId="4B7ED6A5" w:rsidR="00262E9A" w:rsidRPr="00A67904" w:rsidRDefault="00262E9A" w:rsidP="00EC2781">
      <w:pPr>
        <w:pStyle w:val="Akapitzlist"/>
        <w:numPr>
          <w:ilvl w:val="0"/>
          <w:numId w:val="27"/>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183" w:type="dxa"/>
        <w:tblInd w:w="-5" w:type="dxa"/>
        <w:tblLook w:val="04A0" w:firstRow="1" w:lastRow="0" w:firstColumn="1" w:lastColumn="0" w:noHBand="0" w:noVBand="1"/>
      </w:tblPr>
      <w:tblGrid>
        <w:gridCol w:w="486"/>
        <w:gridCol w:w="1641"/>
        <w:gridCol w:w="2976"/>
        <w:gridCol w:w="8080"/>
      </w:tblGrid>
      <w:tr w:rsidR="00954891" w:rsidRPr="003B743E" w14:paraId="2F5BAB7F" w14:textId="77777777" w:rsidTr="0000011A">
        <w:trPr>
          <w:tblHeader/>
        </w:trPr>
        <w:tc>
          <w:tcPr>
            <w:tcW w:w="486" w:type="dxa"/>
          </w:tcPr>
          <w:p w14:paraId="767B8A1E" w14:textId="77777777" w:rsidR="00954891" w:rsidRPr="003B743E" w:rsidRDefault="00954891" w:rsidP="00884F9B">
            <w:pPr>
              <w:spacing w:before="0" w:after="120" w:line="276" w:lineRule="auto"/>
              <w:contextualSpacing/>
              <w:rPr>
                <w:rFonts w:cstheme="minorHAnsi"/>
                <w:b/>
                <w:szCs w:val="22"/>
              </w:rPr>
            </w:pPr>
            <w:r w:rsidRPr="003B743E">
              <w:rPr>
                <w:rFonts w:cstheme="minorHAnsi"/>
                <w:b/>
                <w:szCs w:val="22"/>
              </w:rPr>
              <w:t>Lp.</w:t>
            </w:r>
          </w:p>
        </w:tc>
        <w:tc>
          <w:tcPr>
            <w:tcW w:w="1641" w:type="dxa"/>
            <w:vAlign w:val="center"/>
          </w:tcPr>
          <w:p w14:paraId="7C6EA73E" w14:textId="77777777" w:rsidR="00954891" w:rsidRPr="003B743E" w:rsidRDefault="00954891" w:rsidP="00A273EE">
            <w:pPr>
              <w:spacing w:before="0" w:after="120" w:line="276" w:lineRule="auto"/>
              <w:contextualSpacing/>
              <w:rPr>
                <w:rFonts w:cstheme="minorHAnsi"/>
                <w:b/>
                <w:szCs w:val="22"/>
              </w:rPr>
            </w:pPr>
            <w:r w:rsidRPr="003B743E">
              <w:rPr>
                <w:rFonts w:cstheme="minorHAnsi"/>
                <w:b/>
                <w:szCs w:val="22"/>
              </w:rPr>
              <w:t>Kod wskaźnika</w:t>
            </w:r>
          </w:p>
        </w:tc>
        <w:tc>
          <w:tcPr>
            <w:tcW w:w="2976" w:type="dxa"/>
            <w:vAlign w:val="center"/>
          </w:tcPr>
          <w:p w14:paraId="3C12E997" w14:textId="77777777" w:rsidR="00954891" w:rsidRPr="003B743E" w:rsidRDefault="00954891" w:rsidP="00195DD3">
            <w:pPr>
              <w:spacing w:before="0" w:after="120" w:line="276" w:lineRule="auto"/>
              <w:contextualSpacing/>
              <w:rPr>
                <w:rFonts w:cstheme="minorHAnsi"/>
                <w:b/>
                <w:szCs w:val="22"/>
              </w:rPr>
            </w:pPr>
            <w:r w:rsidRPr="003B743E">
              <w:rPr>
                <w:rFonts w:cstheme="minorHAnsi"/>
                <w:b/>
                <w:szCs w:val="22"/>
              </w:rPr>
              <w:t xml:space="preserve">Nazwa wskaźnika </w:t>
            </w:r>
            <w:r w:rsidRPr="003B743E">
              <w:rPr>
                <w:rFonts w:cstheme="minorHAnsi"/>
                <w:b/>
                <w:szCs w:val="22"/>
              </w:rPr>
              <w:br/>
              <w:t>(jednostka miary)</w:t>
            </w:r>
          </w:p>
        </w:tc>
        <w:tc>
          <w:tcPr>
            <w:tcW w:w="8080" w:type="dxa"/>
            <w:vAlign w:val="center"/>
          </w:tcPr>
          <w:p w14:paraId="3C980745" w14:textId="77777777" w:rsidR="00954891" w:rsidRPr="003B743E" w:rsidRDefault="00954891" w:rsidP="00696F71">
            <w:pPr>
              <w:spacing w:before="0" w:after="120" w:line="276" w:lineRule="auto"/>
              <w:contextualSpacing/>
              <w:rPr>
                <w:rFonts w:cstheme="minorHAnsi"/>
                <w:b/>
                <w:szCs w:val="22"/>
              </w:rPr>
            </w:pPr>
            <w:r w:rsidRPr="003B743E">
              <w:rPr>
                <w:rFonts w:cstheme="minorHAnsi"/>
                <w:b/>
                <w:szCs w:val="22"/>
              </w:rPr>
              <w:t>Definicja operacyjna/kontekst prawny</w:t>
            </w:r>
          </w:p>
        </w:tc>
      </w:tr>
      <w:tr w:rsidR="005368B1" w:rsidRPr="003B743E" w14:paraId="67F93BC2" w14:textId="77777777" w:rsidTr="0000011A">
        <w:tc>
          <w:tcPr>
            <w:tcW w:w="486" w:type="dxa"/>
          </w:tcPr>
          <w:p w14:paraId="184B08F1" w14:textId="06334043" w:rsidR="005368B1" w:rsidRPr="003B743E" w:rsidRDefault="005368B1" w:rsidP="005368B1">
            <w:pPr>
              <w:spacing w:before="0" w:after="120"/>
              <w:contextualSpacing/>
              <w:rPr>
                <w:rFonts w:cstheme="minorHAnsi"/>
                <w:szCs w:val="22"/>
              </w:rPr>
            </w:pPr>
            <w:r w:rsidRPr="003B743E">
              <w:rPr>
                <w:rFonts w:cstheme="minorHAnsi"/>
                <w:szCs w:val="22"/>
              </w:rPr>
              <w:t>1</w:t>
            </w:r>
          </w:p>
        </w:tc>
        <w:tc>
          <w:tcPr>
            <w:tcW w:w="1641" w:type="dxa"/>
          </w:tcPr>
          <w:p w14:paraId="11A2D4C1" w14:textId="58619431" w:rsidR="005368B1" w:rsidRPr="003B743E" w:rsidRDefault="005368B1" w:rsidP="0000011A">
            <w:pPr>
              <w:contextualSpacing/>
              <w:rPr>
                <w:rFonts w:cstheme="minorHAnsi"/>
                <w:szCs w:val="22"/>
              </w:rPr>
            </w:pPr>
            <w:r w:rsidRPr="0076364F">
              <w:rPr>
                <w:rFonts w:cstheme="minorHAnsi"/>
                <w:szCs w:val="22"/>
              </w:rPr>
              <w:t>PLGCO03</w:t>
            </w:r>
          </w:p>
        </w:tc>
        <w:tc>
          <w:tcPr>
            <w:tcW w:w="2976" w:type="dxa"/>
          </w:tcPr>
          <w:p w14:paraId="327EFF15" w14:textId="77777777" w:rsidR="005368B1" w:rsidRPr="0076364F" w:rsidRDefault="005368B1" w:rsidP="006947F0">
            <w:pPr>
              <w:spacing w:before="0"/>
              <w:rPr>
                <w:rFonts w:cstheme="minorHAnsi"/>
                <w:szCs w:val="22"/>
              </w:rPr>
            </w:pPr>
            <w:r w:rsidRPr="0076364F">
              <w:rPr>
                <w:rFonts w:cstheme="minorHAnsi"/>
                <w:szCs w:val="22"/>
              </w:rPr>
              <w:t>Liczba osób dorosłych objętych wsparciem w zakresie umiejętności lub kompetencji podstawowych, realizowanym poza Bazą Usług Rozwojowych (osoby)</w:t>
            </w:r>
          </w:p>
          <w:p w14:paraId="2EC8A35E" w14:textId="4E24EF33" w:rsidR="005368B1" w:rsidRPr="003B743E" w:rsidRDefault="005368B1" w:rsidP="005368B1">
            <w:pPr>
              <w:spacing w:before="0"/>
              <w:rPr>
                <w:rFonts w:cstheme="minorHAnsi"/>
                <w:szCs w:val="22"/>
              </w:rPr>
            </w:pPr>
          </w:p>
        </w:tc>
        <w:tc>
          <w:tcPr>
            <w:tcW w:w="8080" w:type="dxa"/>
          </w:tcPr>
          <w:p w14:paraId="5E0460A3" w14:textId="32C9E394" w:rsidR="005368B1" w:rsidRPr="0076364F" w:rsidRDefault="005368B1" w:rsidP="006947F0">
            <w:pPr>
              <w:spacing w:before="0" w:after="120"/>
              <w:rPr>
                <w:rFonts w:cstheme="minorHAnsi"/>
                <w:szCs w:val="22"/>
              </w:rPr>
            </w:pPr>
            <w:r w:rsidRPr="0076364F">
              <w:rPr>
                <w:rFonts w:cstheme="minorHAnsi"/>
                <w:szCs w:val="22"/>
              </w:rPr>
              <w:t xml:space="preserve">Wskaźnik mierzy liczbę osób dorosłych, objętych wsparciem w zakresie uzyskania lub podniesienia podstawowych umiejętności lub kompetencji, w tym cyfrowych (dot. grup wykluczonych cyfrowo). Wsparcie realizowane poza systemem BUR i PSF, umożliwiające wdrażanie </w:t>
            </w:r>
            <w:proofErr w:type="spellStart"/>
            <w:r w:rsidRPr="0076364F">
              <w:rPr>
                <w:rFonts w:cstheme="minorHAnsi"/>
                <w:szCs w:val="22"/>
              </w:rPr>
              <w:t>Upskilling</w:t>
            </w:r>
            <w:proofErr w:type="spellEnd"/>
            <w:r w:rsidRPr="0076364F">
              <w:rPr>
                <w:rFonts w:cstheme="minorHAnsi"/>
                <w:szCs w:val="22"/>
              </w:rPr>
              <w:t xml:space="preserve"> </w:t>
            </w:r>
            <w:proofErr w:type="spellStart"/>
            <w:r w:rsidRPr="0076364F">
              <w:rPr>
                <w:rFonts w:cstheme="minorHAnsi"/>
                <w:szCs w:val="22"/>
              </w:rPr>
              <w:t>pathways</w:t>
            </w:r>
            <w:proofErr w:type="spellEnd"/>
            <w:r w:rsidRPr="0076364F">
              <w:rPr>
                <w:rFonts w:cstheme="minorHAnsi"/>
                <w:szCs w:val="22"/>
              </w:rPr>
              <w:t>, zgodnie z zaleceniem Rady z dnia 19 grudnia 2016 r.</w:t>
            </w:r>
            <w:r w:rsidR="007F2C90">
              <w:rPr>
                <w:rFonts w:cstheme="minorHAnsi"/>
                <w:szCs w:val="22"/>
              </w:rPr>
              <w:br/>
            </w:r>
            <w:r w:rsidRPr="0076364F">
              <w:rPr>
                <w:rFonts w:cstheme="minorHAnsi"/>
                <w:szCs w:val="22"/>
              </w:rPr>
              <w:t>w sprawie ścieżek poprawy umiejętności: nowe możliwości dla dorosłych (2016/C 484/01).</w:t>
            </w:r>
          </w:p>
          <w:p w14:paraId="68FC39EF" w14:textId="77777777" w:rsidR="005368B1" w:rsidRPr="0076364F" w:rsidRDefault="005368B1" w:rsidP="005368B1">
            <w:pPr>
              <w:spacing w:after="120"/>
              <w:rPr>
                <w:rFonts w:cstheme="minorHAnsi"/>
                <w:szCs w:val="22"/>
              </w:rPr>
            </w:pPr>
            <w:r w:rsidRPr="0076364F">
              <w:rPr>
                <w:rFonts w:cstheme="minorHAnsi"/>
                <w:szCs w:val="22"/>
              </w:rPr>
              <w:t>Osoba dorosła to osoba powyżej 18 lat. Wiek uczestników określany jest na podstawie daty urodzenia i ustalany w dniu rozpoczęcia udziału w projekcie.</w:t>
            </w:r>
          </w:p>
          <w:p w14:paraId="2F47752B" w14:textId="77777777" w:rsidR="005368B1" w:rsidRPr="0076364F" w:rsidRDefault="005368B1" w:rsidP="005368B1">
            <w:pPr>
              <w:spacing w:after="120"/>
              <w:rPr>
                <w:rFonts w:cstheme="minorHAnsi"/>
                <w:szCs w:val="22"/>
              </w:rPr>
            </w:pPr>
            <w:r w:rsidRPr="0076364F">
              <w:rPr>
                <w:rFonts w:cstheme="minorHAnsi"/>
                <w:szCs w:val="22"/>
              </w:rPr>
              <w:t>Wskaźnik mierzony w momencie rozpoczęcia udziału danej osoby w pierwszych zajęciach.</w:t>
            </w:r>
          </w:p>
          <w:p w14:paraId="623009EA" w14:textId="6366C950" w:rsidR="005368B1" w:rsidRPr="003B743E" w:rsidRDefault="005368B1" w:rsidP="005368B1">
            <w:pPr>
              <w:spacing w:before="0" w:after="160"/>
              <w:rPr>
                <w:rFonts w:eastAsia="Calibri" w:cstheme="minorHAnsi"/>
                <w:szCs w:val="22"/>
              </w:rPr>
            </w:pPr>
            <w:r w:rsidRPr="0076364F">
              <w:rPr>
                <w:rFonts w:cstheme="minorHAnsi"/>
                <w:szCs w:val="22"/>
              </w:rPr>
              <w:t xml:space="preserve">Umiejętności/kompetencje podstawowe (z ang. </w:t>
            </w:r>
            <w:proofErr w:type="spellStart"/>
            <w:r w:rsidRPr="0076364F">
              <w:rPr>
                <w:rFonts w:cstheme="minorHAnsi"/>
                <w:szCs w:val="22"/>
              </w:rPr>
              <w:t>basic</w:t>
            </w:r>
            <w:proofErr w:type="spellEnd"/>
            <w:r w:rsidRPr="0076364F">
              <w:rPr>
                <w:rFonts w:cstheme="minorHAnsi"/>
                <w:szCs w:val="22"/>
              </w:rPr>
              <w:t xml:space="preserve"> </w:t>
            </w:r>
            <w:proofErr w:type="spellStart"/>
            <w:r w:rsidRPr="0076364F">
              <w:rPr>
                <w:rFonts w:cstheme="minorHAnsi"/>
                <w:szCs w:val="22"/>
              </w:rPr>
              <w:t>skills</w:t>
            </w:r>
            <w:proofErr w:type="spellEnd"/>
            <w:r w:rsidRPr="0076364F">
              <w:rPr>
                <w:rFonts w:cstheme="minorHAnsi"/>
                <w:szCs w:val="22"/>
              </w:rPr>
              <w:t xml:space="preserve">: </w:t>
            </w:r>
            <w:proofErr w:type="spellStart"/>
            <w:r w:rsidRPr="0076364F">
              <w:rPr>
                <w:rFonts w:cstheme="minorHAnsi"/>
                <w:szCs w:val="22"/>
              </w:rPr>
              <w:t>literacy</w:t>
            </w:r>
            <w:proofErr w:type="spellEnd"/>
            <w:r w:rsidRPr="0076364F">
              <w:rPr>
                <w:rFonts w:cstheme="minorHAnsi"/>
                <w:szCs w:val="22"/>
              </w:rPr>
              <w:t xml:space="preserve">, </w:t>
            </w:r>
            <w:proofErr w:type="spellStart"/>
            <w:r w:rsidRPr="0076364F">
              <w:rPr>
                <w:rFonts w:cstheme="minorHAnsi"/>
                <w:szCs w:val="22"/>
              </w:rPr>
              <w:t>numeracy</w:t>
            </w:r>
            <w:proofErr w:type="spellEnd"/>
            <w:r w:rsidRPr="0076364F">
              <w:rPr>
                <w:rFonts w:cstheme="minorHAnsi"/>
                <w:szCs w:val="22"/>
              </w:rPr>
              <w:t xml:space="preserve">, ICT </w:t>
            </w:r>
            <w:proofErr w:type="spellStart"/>
            <w:r w:rsidRPr="0076364F">
              <w:rPr>
                <w:rFonts w:cstheme="minorHAnsi"/>
                <w:szCs w:val="22"/>
              </w:rPr>
              <w:t>skills</w:t>
            </w:r>
            <w:proofErr w:type="spellEnd"/>
            <w:r w:rsidRPr="0076364F">
              <w:rPr>
                <w:rFonts w:cstheme="minorHAnsi"/>
                <w:szCs w:val="22"/>
              </w:rPr>
              <w:t>) to podstawowe zdolności w zakresie rozumienia i tworzenia informacji, rozwijania i wykorzystania myślenia matematycznego oraz korzystania z technologii cyfrowych.</w:t>
            </w:r>
          </w:p>
        </w:tc>
      </w:tr>
      <w:tr w:rsidR="008F70BD" w:rsidRPr="003B743E" w14:paraId="3BFCDAEF" w14:textId="77777777" w:rsidTr="0000011A">
        <w:tc>
          <w:tcPr>
            <w:tcW w:w="486" w:type="dxa"/>
          </w:tcPr>
          <w:p w14:paraId="151C7BCA" w14:textId="0866DBB3" w:rsidR="008F70BD" w:rsidRPr="003B743E" w:rsidRDefault="008F70BD" w:rsidP="008F70BD">
            <w:pPr>
              <w:spacing w:before="0" w:after="120"/>
              <w:contextualSpacing/>
              <w:rPr>
                <w:rFonts w:cstheme="minorHAnsi"/>
                <w:szCs w:val="22"/>
              </w:rPr>
            </w:pPr>
            <w:r w:rsidRPr="003B743E">
              <w:rPr>
                <w:rFonts w:cstheme="minorHAnsi"/>
                <w:szCs w:val="22"/>
              </w:rPr>
              <w:t>2</w:t>
            </w:r>
          </w:p>
        </w:tc>
        <w:tc>
          <w:tcPr>
            <w:tcW w:w="1641" w:type="dxa"/>
          </w:tcPr>
          <w:p w14:paraId="00C5AC82" w14:textId="4E936A6E" w:rsidR="008F70BD" w:rsidRPr="0076364F" w:rsidRDefault="008F70BD" w:rsidP="008F70BD">
            <w:pPr>
              <w:spacing w:before="0" w:after="120"/>
              <w:contextualSpacing/>
              <w:rPr>
                <w:rFonts w:cstheme="minorHAnsi"/>
                <w:szCs w:val="22"/>
              </w:rPr>
            </w:pPr>
            <w:r w:rsidRPr="0076364F">
              <w:rPr>
                <w:rFonts w:cstheme="minorHAnsi"/>
                <w:szCs w:val="22"/>
              </w:rPr>
              <w:t>EECO05</w:t>
            </w:r>
          </w:p>
        </w:tc>
        <w:tc>
          <w:tcPr>
            <w:tcW w:w="2976" w:type="dxa"/>
          </w:tcPr>
          <w:p w14:paraId="3A77AC94" w14:textId="3A8EA54A" w:rsidR="008F70BD" w:rsidRPr="0076364F" w:rsidRDefault="008F70BD" w:rsidP="006947F0">
            <w:pPr>
              <w:spacing w:before="0"/>
              <w:rPr>
                <w:rFonts w:cstheme="minorHAnsi"/>
                <w:szCs w:val="22"/>
              </w:rPr>
            </w:pPr>
            <w:r w:rsidRPr="0076364F">
              <w:rPr>
                <w:rFonts w:cstheme="minorHAnsi"/>
                <w:szCs w:val="22"/>
              </w:rPr>
              <w:t xml:space="preserve">Liczba osób pracujących, łącznie z prowadzącymi działalność na własny </w:t>
            </w:r>
            <w:r w:rsidRPr="0076364F">
              <w:rPr>
                <w:rFonts w:cstheme="minorHAnsi"/>
                <w:szCs w:val="22"/>
              </w:rPr>
              <w:lastRenderedPageBreak/>
              <w:t>rachunek, objętych wsparciem w programie (osoby)</w:t>
            </w:r>
          </w:p>
        </w:tc>
        <w:tc>
          <w:tcPr>
            <w:tcW w:w="8080" w:type="dxa"/>
          </w:tcPr>
          <w:p w14:paraId="667A4004" w14:textId="77777777" w:rsidR="008F70BD" w:rsidRPr="0076364F" w:rsidRDefault="008F70BD" w:rsidP="006947F0">
            <w:pPr>
              <w:spacing w:before="0" w:after="120"/>
              <w:jc w:val="both"/>
              <w:rPr>
                <w:rFonts w:eastAsia="Times New Roman" w:cstheme="minorHAnsi"/>
                <w:iCs/>
                <w:szCs w:val="22"/>
                <w:lang w:eastAsia="pl-PL"/>
              </w:rPr>
            </w:pPr>
            <w:r w:rsidRPr="0076364F">
              <w:rPr>
                <w:rFonts w:eastAsia="Times New Roman" w:cstheme="minorHAnsi"/>
                <w:szCs w:val="22"/>
                <w:lang w:eastAsia="pl-PL"/>
              </w:rPr>
              <w:lastRenderedPageBreak/>
              <w:t>Pracujący</w:t>
            </w:r>
            <w:r w:rsidRPr="0076364F">
              <w:rPr>
                <w:rFonts w:eastAsia="Times New Roman" w:cstheme="minorHAnsi"/>
                <w:iCs/>
                <w:szCs w:val="22"/>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w:t>
            </w:r>
            <w:r w:rsidRPr="0076364F">
              <w:rPr>
                <w:rFonts w:eastAsia="Times New Roman" w:cstheme="minorHAnsi"/>
                <w:iCs/>
                <w:szCs w:val="22"/>
                <w:lang w:eastAsia="pl-PL"/>
              </w:rPr>
              <w:lastRenderedPageBreak/>
              <w:t>produkujące towary rolne, których główna część przeznaczona jest na sprzedaż lub barter.</w:t>
            </w:r>
            <w:r w:rsidRPr="0076364F">
              <w:rPr>
                <w:rFonts w:eastAsia="Times New Roman" w:cstheme="minorHAnsi"/>
                <w:iCs/>
                <w:szCs w:val="22"/>
                <w:lang w:eastAsia="pl-PL"/>
              </w:rPr>
              <w:br w:type="page"/>
            </w:r>
          </w:p>
          <w:p w14:paraId="7AF6D276" w14:textId="281A6EE8" w:rsidR="008F70BD" w:rsidRPr="0076364F" w:rsidRDefault="006947F0" w:rsidP="006947F0">
            <w:pPr>
              <w:spacing w:before="0" w:after="120"/>
              <w:jc w:val="both"/>
              <w:rPr>
                <w:rFonts w:eastAsia="Times New Roman" w:cstheme="minorHAnsi"/>
                <w:iCs/>
                <w:szCs w:val="22"/>
                <w:lang w:eastAsia="pl-PL"/>
              </w:rPr>
            </w:pPr>
            <w:r w:rsidRPr="0076364F">
              <w:rPr>
                <w:rFonts w:eastAsia="Times New Roman" w:cstheme="minorHAnsi"/>
                <w:iCs/>
                <w:szCs w:val="22"/>
                <w:lang w:eastAsia="pl-PL"/>
              </w:rPr>
              <w:br/>
            </w:r>
            <w:r w:rsidR="008F70BD" w:rsidRPr="0076364F">
              <w:rPr>
                <w:rFonts w:eastAsia="Times New Roman" w:cstheme="minorHAnsi"/>
                <w:iCs/>
                <w:szCs w:val="22"/>
                <w:lang w:eastAsia="pl-PL"/>
              </w:rPr>
              <w:t>Za osoby pracujące uznawane są również:</w:t>
            </w:r>
          </w:p>
          <w:p w14:paraId="69F4E01E" w14:textId="7B579D08" w:rsidR="008F70BD" w:rsidRPr="0076364F" w:rsidRDefault="008F70BD" w:rsidP="008F70BD">
            <w:pPr>
              <w:pStyle w:val="Akapitzlist"/>
              <w:numPr>
                <w:ilvl w:val="0"/>
                <w:numId w:val="40"/>
              </w:numPr>
              <w:spacing w:before="0" w:after="120"/>
              <w:ind w:left="323" w:hanging="283"/>
              <w:jc w:val="both"/>
              <w:rPr>
                <w:rFonts w:eastAsia="Times New Roman" w:cstheme="minorHAnsi"/>
                <w:iCs/>
                <w:szCs w:val="22"/>
                <w:lang w:eastAsia="pl-PL"/>
              </w:rPr>
            </w:pPr>
            <w:r w:rsidRPr="0076364F">
              <w:rPr>
                <w:rFonts w:cstheme="minorHAnsi"/>
                <w:szCs w:val="22"/>
              </w:rPr>
              <w:t>osoby</w:t>
            </w:r>
            <w:r w:rsidRPr="0076364F">
              <w:rPr>
                <w:rFonts w:eastAsia="Times New Roman" w:cstheme="minorHAnsi"/>
                <w:iCs/>
                <w:szCs w:val="22"/>
                <w:lang w:eastAsia="pl-PL"/>
              </w:rPr>
              <w:t xml:space="preserve"> prowadzące</w:t>
            </w:r>
            <w:r w:rsidRPr="0076364F">
              <w:rPr>
                <w:rFonts w:eastAsia="Times New Roman" w:cstheme="minorHAnsi"/>
                <w:i/>
                <w:iCs/>
                <w:szCs w:val="22"/>
                <w:lang w:eastAsia="pl-PL"/>
              </w:rPr>
              <w:t xml:space="preserve"> </w:t>
            </w:r>
            <w:r w:rsidRPr="0076364F">
              <w:rPr>
                <w:rFonts w:eastAsia="Times New Roman" w:cstheme="minorHAnsi"/>
                <w:iCs/>
                <w:szCs w:val="22"/>
                <w:lang w:eastAsia="pl-PL"/>
              </w:rPr>
              <w:t xml:space="preserve">działalność na własny rachunek, czyli prowadzące działalność gospodarczą lub działalność nierejestrową (definiowana zgodnie z art. 5 Ustawy </w:t>
            </w:r>
            <w:r w:rsidR="007F2C90">
              <w:rPr>
                <w:rFonts w:eastAsia="Times New Roman" w:cstheme="minorHAnsi"/>
                <w:iCs/>
                <w:szCs w:val="22"/>
                <w:lang w:eastAsia="pl-PL"/>
              </w:rPr>
              <w:br/>
            </w:r>
            <w:r w:rsidRPr="0076364F">
              <w:rPr>
                <w:rFonts w:eastAsia="Times New Roman" w:cstheme="minorHAnsi"/>
                <w:iCs/>
                <w:szCs w:val="22"/>
                <w:lang w:eastAsia="pl-PL"/>
              </w:rPr>
              <w:t>z dnia 6 marca 2018 r. Prawo przedsiębiorców), gospodarstwo rolne lub praktykę zawodową, o ile spełniony jest jeden z poniższych warunków:</w:t>
            </w:r>
            <w:r w:rsidRPr="0076364F">
              <w:rPr>
                <w:rFonts w:eastAsia="Times New Roman" w:cstheme="minorHAnsi"/>
                <w:iCs/>
                <w:szCs w:val="22"/>
                <w:lang w:eastAsia="pl-PL"/>
              </w:rPr>
              <w:br w:type="page"/>
            </w:r>
          </w:p>
          <w:p w14:paraId="7246C46C" w14:textId="77777777" w:rsidR="008F70BD" w:rsidRPr="0076364F" w:rsidRDefault="008F70BD" w:rsidP="00045A39">
            <w:pPr>
              <w:numPr>
                <w:ilvl w:val="0"/>
                <w:numId w:val="38"/>
              </w:numPr>
              <w:spacing w:before="0" w:after="120"/>
              <w:ind w:left="465" w:hanging="284"/>
              <w:jc w:val="both"/>
              <w:rPr>
                <w:rFonts w:eastAsia="Times New Roman" w:cstheme="minorHAnsi"/>
                <w:iCs/>
                <w:szCs w:val="22"/>
                <w:lang w:eastAsia="pl-PL"/>
              </w:rPr>
            </w:pPr>
            <w:r w:rsidRPr="0076364F">
              <w:rPr>
                <w:rFonts w:eastAsia="Times New Roman" w:cstheme="minorHAnsi"/>
                <w:iCs/>
                <w:szCs w:val="22"/>
                <w:lang w:eastAsia="pl-PL"/>
              </w:rPr>
              <w:t>Osoba pracuje w swojej działalności, praktyce zawodowej lub gospodarstwie rolnym w celu uzyskania dochodu, nawet jeżeli przedsiębiorstwo nie osiąga zysków.</w:t>
            </w:r>
          </w:p>
          <w:p w14:paraId="1FEA6829" w14:textId="6BCB8FC6" w:rsidR="008F70BD" w:rsidRPr="0076364F" w:rsidRDefault="008F70BD" w:rsidP="00045A39">
            <w:pPr>
              <w:numPr>
                <w:ilvl w:val="0"/>
                <w:numId w:val="38"/>
              </w:numPr>
              <w:spacing w:before="0" w:after="120"/>
              <w:ind w:left="465" w:hanging="284"/>
              <w:jc w:val="both"/>
              <w:rPr>
                <w:rFonts w:eastAsia="Times New Roman" w:cstheme="minorHAnsi"/>
                <w:iCs/>
                <w:szCs w:val="22"/>
                <w:lang w:eastAsia="pl-PL"/>
              </w:rPr>
            </w:pPr>
            <w:r w:rsidRPr="0076364F">
              <w:rPr>
                <w:rFonts w:eastAsia="Times New Roman" w:cstheme="minorHAnsi"/>
                <w:iCs/>
                <w:szCs w:val="22"/>
                <w:lang w:eastAsia="pl-PL"/>
              </w:rPr>
              <w:t xml:space="preserve">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t>
            </w:r>
            <w:r w:rsidR="007F2C90">
              <w:rPr>
                <w:rFonts w:eastAsia="Times New Roman" w:cstheme="minorHAnsi"/>
                <w:iCs/>
                <w:szCs w:val="22"/>
                <w:lang w:eastAsia="pl-PL"/>
              </w:rPr>
              <w:br/>
            </w:r>
            <w:r w:rsidRPr="0076364F">
              <w:rPr>
                <w:rFonts w:eastAsia="Times New Roman" w:cstheme="minorHAnsi"/>
                <w:iCs/>
                <w:szCs w:val="22"/>
                <w:lang w:eastAsia="pl-PL"/>
              </w:rPr>
              <w:t>w konferencjach, konwencjach lub seminariach).</w:t>
            </w:r>
          </w:p>
          <w:p w14:paraId="7EAAA95C" w14:textId="77777777" w:rsidR="008F70BD" w:rsidRPr="0076364F" w:rsidRDefault="008F70BD" w:rsidP="00045A39">
            <w:pPr>
              <w:numPr>
                <w:ilvl w:val="0"/>
                <w:numId w:val="38"/>
              </w:numPr>
              <w:spacing w:before="0" w:after="120"/>
              <w:ind w:left="465" w:hanging="284"/>
              <w:jc w:val="both"/>
              <w:rPr>
                <w:rFonts w:eastAsia="Times New Roman" w:cstheme="minorHAnsi"/>
                <w:iCs/>
                <w:szCs w:val="22"/>
                <w:lang w:eastAsia="pl-PL"/>
              </w:rPr>
            </w:pPr>
            <w:r w:rsidRPr="0076364F">
              <w:rPr>
                <w:rFonts w:eastAsia="Times New Roman" w:cstheme="minorHAnsi"/>
                <w:iCs/>
                <w:szCs w:val="22"/>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4301EA9" w14:textId="77777777" w:rsidR="008F70BD" w:rsidRPr="0076364F" w:rsidRDefault="008F70BD" w:rsidP="008F70BD">
            <w:pPr>
              <w:pStyle w:val="Akapitzlist"/>
              <w:numPr>
                <w:ilvl w:val="0"/>
                <w:numId w:val="40"/>
              </w:numPr>
              <w:spacing w:before="0" w:after="120"/>
              <w:ind w:left="323" w:hanging="283"/>
              <w:jc w:val="both"/>
              <w:rPr>
                <w:rFonts w:eastAsia="Times New Roman" w:cstheme="minorHAnsi"/>
                <w:szCs w:val="22"/>
                <w:lang w:eastAsia="pl-PL"/>
              </w:rPr>
            </w:pPr>
            <w:r w:rsidRPr="0076364F">
              <w:rPr>
                <w:rFonts w:cstheme="minorHAnsi"/>
                <w:szCs w:val="22"/>
              </w:rPr>
              <w:t>bezpłatnie pomagający osobie prowadzącej działalność członek rodziny</w:t>
            </w:r>
            <w:r w:rsidRPr="0076364F">
              <w:rPr>
                <w:rFonts w:eastAsia="Times New Roman" w:cstheme="minorHAnsi"/>
                <w:szCs w:val="22"/>
                <w:lang w:eastAsia="pl-PL"/>
              </w:rPr>
              <w:t xml:space="preserve"> uznawany jest za „osobę prowadzącą działalność na własny rachunek”.</w:t>
            </w:r>
          </w:p>
          <w:p w14:paraId="75153D7D" w14:textId="77777777" w:rsidR="008F70BD" w:rsidRPr="0076364F" w:rsidRDefault="008F70BD" w:rsidP="008F70BD">
            <w:pPr>
              <w:pStyle w:val="Akapitzlist"/>
              <w:numPr>
                <w:ilvl w:val="0"/>
                <w:numId w:val="39"/>
              </w:numPr>
              <w:spacing w:before="0" w:after="120"/>
              <w:ind w:left="323" w:hanging="283"/>
              <w:rPr>
                <w:rFonts w:eastAsia="Times New Roman" w:cstheme="minorHAnsi"/>
                <w:szCs w:val="22"/>
                <w:lang w:eastAsia="pl-PL"/>
              </w:rPr>
            </w:pPr>
            <w:r w:rsidRPr="0076364F">
              <w:rPr>
                <w:rFonts w:cstheme="minorHAnsi"/>
                <w:szCs w:val="22"/>
              </w:rPr>
              <w:t>osoby przebywające na urlopie macierzyńskim/ rodzicielskim/ wychowawczym</w:t>
            </w:r>
            <w:r w:rsidRPr="0076364F">
              <w:rPr>
                <w:rFonts w:eastAsia="Times New Roman" w:cstheme="minorHAnsi"/>
                <w:szCs w:val="22"/>
                <w:lang w:eastAsia="pl-PL"/>
              </w:rPr>
              <w:t xml:space="preserve"> (którego warunki są uregulowane w Kodeksie Pracy), chyba że są zarejestrowane już jako bezrobotne (wówczas status bezrobotnego ma pierwszeństwo),</w:t>
            </w:r>
          </w:p>
          <w:p w14:paraId="4AE4ED9B" w14:textId="77777777" w:rsidR="008F70BD" w:rsidRPr="0076364F" w:rsidRDefault="008F70BD" w:rsidP="008F70BD">
            <w:pPr>
              <w:pStyle w:val="Akapitzlist"/>
              <w:numPr>
                <w:ilvl w:val="0"/>
                <w:numId w:val="39"/>
              </w:numPr>
              <w:spacing w:before="0" w:after="120"/>
              <w:ind w:left="323" w:hanging="283"/>
              <w:jc w:val="both"/>
              <w:rPr>
                <w:rFonts w:eastAsia="Times New Roman" w:cstheme="minorHAnsi"/>
                <w:i/>
                <w:iCs/>
                <w:szCs w:val="22"/>
                <w:lang w:eastAsia="pl-PL"/>
              </w:rPr>
            </w:pPr>
            <w:r w:rsidRPr="0076364F">
              <w:rPr>
                <w:rFonts w:eastAsia="Times New Roman" w:cstheme="minorHAnsi"/>
                <w:szCs w:val="22"/>
                <w:lang w:eastAsia="pl-PL"/>
              </w:rPr>
              <w:lastRenderedPageBreak/>
              <w:t>studenci, którzy są zatrudnieni lub prowadzą działalność gospodarczą</w:t>
            </w:r>
          </w:p>
          <w:p w14:paraId="4B7C1D43" w14:textId="77777777" w:rsidR="008F70BD" w:rsidRPr="0076364F" w:rsidRDefault="008F70BD" w:rsidP="008F70BD">
            <w:pPr>
              <w:pStyle w:val="Akapitzlist"/>
              <w:numPr>
                <w:ilvl w:val="0"/>
                <w:numId w:val="39"/>
              </w:numPr>
              <w:spacing w:before="0" w:after="120"/>
              <w:ind w:left="323" w:hanging="283"/>
              <w:jc w:val="both"/>
              <w:rPr>
                <w:rFonts w:eastAsia="Times New Roman" w:cstheme="minorHAnsi"/>
                <w:i/>
                <w:iCs/>
                <w:szCs w:val="22"/>
                <w:lang w:eastAsia="pl-PL"/>
              </w:rPr>
            </w:pPr>
            <w:r w:rsidRPr="0076364F">
              <w:rPr>
                <w:rFonts w:eastAsia="Times New Roman" w:cstheme="minorHAnsi"/>
                <w:szCs w:val="22"/>
                <w:lang w:eastAsia="pl-PL"/>
              </w:rPr>
              <w:t>osoby skierowane do odbycia zatrudnienia subsydiowanego.</w:t>
            </w:r>
          </w:p>
          <w:p w14:paraId="737B77E4" w14:textId="77777777" w:rsidR="008F70BD" w:rsidRPr="0076364F" w:rsidRDefault="008F70BD" w:rsidP="008F70BD">
            <w:pPr>
              <w:spacing w:after="120"/>
              <w:jc w:val="both"/>
              <w:rPr>
                <w:rFonts w:eastAsia="Times New Roman" w:cstheme="minorHAnsi"/>
                <w:szCs w:val="22"/>
                <w:lang w:eastAsia="pl-PL"/>
              </w:rPr>
            </w:pPr>
            <w:r w:rsidRPr="0076364F">
              <w:rPr>
                <w:rFonts w:eastAsia="Times New Roman" w:cstheme="minorHAnsi"/>
                <w:szCs w:val="22"/>
                <w:lang w:eastAsia="pl-PL"/>
              </w:rPr>
              <w:t>Definicja opracowana na podstawie: Eurostat, badanie aktywności ekonomicznej ludności (BAEL).</w:t>
            </w:r>
          </w:p>
          <w:p w14:paraId="1C2469D5" w14:textId="41C98A4D" w:rsidR="008F70BD" w:rsidRPr="003B743E" w:rsidRDefault="008F70BD" w:rsidP="008F70BD">
            <w:pPr>
              <w:spacing w:before="0" w:after="160"/>
              <w:rPr>
                <w:rFonts w:eastAsia="Calibri" w:cstheme="minorHAnsi"/>
                <w:szCs w:val="22"/>
              </w:rPr>
            </w:pPr>
            <w:r w:rsidRPr="0076364F">
              <w:rPr>
                <w:rFonts w:eastAsia="Times New Roman" w:cstheme="minorHAnsi"/>
                <w:szCs w:val="22"/>
                <w:lang w:eastAsia="pl-PL"/>
              </w:rPr>
              <w:t xml:space="preserve">Status na rynku pracy jest określany w dniu rozpoczęcia uczestnictwa w projekcie, tj. </w:t>
            </w:r>
            <w:r w:rsidR="007F2C90">
              <w:rPr>
                <w:rFonts w:eastAsia="Times New Roman" w:cstheme="minorHAnsi"/>
                <w:szCs w:val="22"/>
                <w:lang w:eastAsia="pl-PL"/>
              </w:rPr>
              <w:br/>
            </w:r>
            <w:r w:rsidRPr="0076364F">
              <w:rPr>
                <w:rFonts w:eastAsia="Times New Roman" w:cstheme="minorHAnsi"/>
                <w:szCs w:val="22"/>
                <w:lang w:eastAsia="pl-PL"/>
              </w:rPr>
              <w:t>w momencie rozpoczęcia udziału w pierwszej formie wsparcia w projekcie.</w:t>
            </w:r>
          </w:p>
        </w:tc>
      </w:tr>
      <w:tr w:rsidR="008F70BD" w:rsidRPr="003B743E" w14:paraId="49CF8D89" w14:textId="77777777" w:rsidTr="0000011A">
        <w:tc>
          <w:tcPr>
            <w:tcW w:w="486" w:type="dxa"/>
          </w:tcPr>
          <w:p w14:paraId="5599B6AE" w14:textId="51B9B01F" w:rsidR="008F70BD" w:rsidRPr="003B743E" w:rsidRDefault="00CB52D5" w:rsidP="008F70BD">
            <w:pPr>
              <w:spacing w:before="0" w:after="120"/>
              <w:contextualSpacing/>
              <w:rPr>
                <w:rFonts w:cstheme="minorHAnsi"/>
                <w:szCs w:val="22"/>
              </w:rPr>
            </w:pPr>
            <w:r>
              <w:rPr>
                <w:rFonts w:cstheme="minorHAnsi"/>
                <w:szCs w:val="22"/>
              </w:rPr>
              <w:lastRenderedPageBreak/>
              <w:t>3</w:t>
            </w:r>
          </w:p>
        </w:tc>
        <w:tc>
          <w:tcPr>
            <w:tcW w:w="1641" w:type="dxa"/>
          </w:tcPr>
          <w:p w14:paraId="050209DB" w14:textId="284A1712" w:rsidR="008F70BD" w:rsidRPr="0076364F" w:rsidRDefault="008F70BD" w:rsidP="008F70BD">
            <w:pPr>
              <w:spacing w:before="0" w:after="120"/>
              <w:contextualSpacing/>
              <w:rPr>
                <w:rFonts w:cstheme="minorHAnsi"/>
                <w:szCs w:val="22"/>
              </w:rPr>
            </w:pPr>
            <w:r w:rsidRPr="0076364F">
              <w:rPr>
                <w:rFonts w:cstheme="minorHAnsi"/>
                <w:szCs w:val="22"/>
              </w:rPr>
              <w:t>PL0CO01</w:t>
            </w:r>
          </w:p>
        </w:tc>
        <w:tc>
          <w:tcPr>
            <w:tcW w:w="2976" w:type="dxa"/>
          </w:tcPr>
          <w:p w14:paraId="3A40C577" w14:textId="3D63C62F" w:rsidR="008F70BD" w:rsidRPr="0076364F" w:rsidRDefault="008F70BD" w:rsidP="008F70BD">
            <w:pPr>
              <w:spacing w:before="0"/>
              <w:contextualSpacing/>
              <w:rPr>
                <w:rFonts w:cstheme="minorHAnsi"/>
                <w:szCs w:val="22"/>
              </w:rPr>
            </w:pPr>
            <w:r w:rsidRPr="0076364F">
              <w:rPr>
                <w:rFonts w:cstheme="minorHAnsi"/>
                <w:szCs w:val="22"/>
              </w:rPr>
              <w:t xml:space="preserve">Liczba projektów, </w:t>
            </w:r>
            <w:r w:rsidRPr="0076364F">
              <w:rPr>
                <w:rFonts w:cstheme="minorHAnsi"/>
                <w:szCs w:val="22"/>
              </w:rPr>
              <w:br/>
              <w:t>w których sfinansowano koszty racjonalnych usprawnień dla osób z niepełnosprawnościami (sztuki)</w:t>
            </w:r>
          </w:p>
        </w:tc>
        <w:tc>
          <w:tcPr>
            <w:tcW w:w="8080" w:type="dxa"/>
          </w:tcPr>
          <w:p w14:paraId="7D9D9777" w14:textId="77777777" w:rsidR="008F70BD" w:rsidRPr="0076364F" w:rsidRDefault="008F70BD" w:rsidP="0000011A">
            <w:pPr>
              <w:spacing w:beforeAutospacing="1" w:after="120"/>
              <w:rPr>
                <w:rFonts w:cstheme="minorHAnsi"/>
                <w:szCs w:val="22"/>
              </w:rPr>
            </w:pPr>
            <w:r w:rsidRPr="0076364F">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1C8BEAC" w14:textId="77777777" w:rsidR="008F70BD" w:rsidRPr="0076364F" w:rsidRDefault="008F70BD" w:rsidP="0000011A">
            <w:pPr>
              <w:spacing w:before="120" w:after="120"/>
              <w:rPr>
                <w:rFonts w:cstheme="minorHAnsi"/>
                <w:szCs w:val="22"/>
              </w:rPr>
            </w:pPr>
            <w:r w:rsidRPr="0076364F">
              <w:rPr>
                <w:rFonts w:cstheme="minorHAnsi"/>
                <w:szCs w:val="22"/>
              </w:rPr>
              <w:t>Wskaźnik mierzony jest w momencie rozliczenia wydatku związanego z racjonalnymi usprawnieniami w ramach danego projektu. Tym samym, jego wartość początkowa wynosi 0.</w:t>
            </w:r>
          </w:p>
          <w:p w14:paraId="2D478B80" w14:textId="4B8494C1" w:rsidR="008F70BD" w:rsidRPr="0076364F" w:rsidRDefault="008F70BD" w:rsidP="0000011A">
            <w:pPr>
              <w:spacing w:before="120" w:after="120"/>
              <w:rPr>
                <w:rFonts w:cstheme="minorHAnsi"/>
                <w:szCs w:val="22"/>
              </w:rPr>
            </w:pPr>
            <w:r w:rsidRPr="0076364F">
              <w:rPr>
                <w:rFonts w:cstheme="minorHAnsi"/>
                <w:szCs w:val="22"/>
              </w:rPr>
              <w:t xml:space="preserve">Przykłady racjonalnych usprawnień: tłumacz języka migowego, transport </w:t>
            </w:r>
            <w:r w:rsidR="0000011A" w:rsidRPr="0076364F">
              <w:rPr>
                <w:rFonts w:cstheme="minorHAnsi"/>
                <w:szCs w:val="22"/>
              </w:rPr>
              <w:t>n</w:t>
            </w:r>
            <w:r w:rsidRPr="0076364F">
              <w:rPr>
                <w:rFonts w:cstheme="minorHAnsi"/>
                <w:szCs w:val="22"/>
              </w:rPr>
              <w:t>iskopodłogowy, dostosowanie infrastruktury (nie tylko budynku, ale też dostosowanie infrastruktury komputerowej np. programy powiększające, mówiące, drukarki materiałów w alfabecie Braille'a), osoby asystujące.</w:t>
            </w:r>
          </w:p>
          <w:p w14:paraId="3F841968" w14:textId="0E4680D8" w:rsidR="008F70BD" w:rsidRPr="0076364F" w:rsidRDefault="008F70BD" w:rsidP="008F70BD">
            <w:pPr>
              <w:spacing w:before="0" w:after="120"/>
              <w:rPr>
                <w:rFonts w:cstheme="minorHAnsi"/>
                <w:szCs w:val="22"/>
              </w:rPr>
            </w:pPr>
            <w:r w:rsidRPr="0076364F">
              <w:rPr>
                <w:rFonts w:cstheme="minorHAnsi"/>
                <w:szCs w:val="22"/>
              </w:rPr>
              <w:t xml:space="preserve">Do wskaźnika powinny zostać wliczone zarówno projekty ogólnodostępne, w których sfinansowano koszty racjonalnych usprawnień, jak i  te ukierunkowane na zwalczanie </w:t>
            </w:r>
            <w:r w:rsidR="007F2C90">
              <w:rPr>
                <w:rFonts w:cstheme="minorHAnsi"/>
                <w:szCs w:val="22"/>
              </w:rPr>
              <w:br/>
            </w:r>
            <w:r w:rsidRPr="0076364F">
              <w:rPr>
                <w:rFonts w:cstheme="minorHAnsi"/>
                <w:szCs w:val="22"/>
              </w:rPr>
              <w:t xml:space="preserve">i zapobieganie wszelkim formom dyskryminacji w stosunku do osób na nią narażonych, </w:t>
            </w:r>
            <w:r w:rsidR="007F2C90">
              <w:rPr>
                <w:rFonts w:cstheme="minorHAnsi"/>
                <w:szCs w:val="22"/>
              </w:rPr>
              <w:br/>
            </w:r>
            <w:r w:rsidRPr="0076364F">
              <w:rPr>
                <w:rFonts w:cstheme="minorHAnsi"/>
                <w:szCs w:val="22"/>
              </w:rPr>
              <w:t xml:space="preserve">a także zwiększanie dostępności dla osób z niepełnosprawnościami. </w:t>
            </w:r>
            <w:r w:rsidRPr="0076364F">
              <w:rPr>
                <w:rFonts w:cstheme="minorHAnsi"/>
                <w:szCs w:val="22"/>
              </w:rPr>
              <w:b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76364F">
              <w:rPr>
                <w:rFonts w:cstheme="minorHAnsi"/>
                <w:szCs w:val="22"/>
              </w:rPr>
              <w:br/>
              <w:t>Definicja na podstawie: Wytyczne w zakresie realizacji zasad równościowych w ramach funduszy unijnych na lata 2021-2027.</w:t>
            </w:r>
          </w:p>
        </w:tc>
      </w:tr>
      <w:tr w:rsidR="008F70BD" w:rsidRPr="003B743E" w14:paraId="0159866C" w14:textId="77777777" w:rsidTr="0000011A">
        <w:tc>
          <w:tcPr>
            <w:tcW w:w="486" w:type="dxa"/>
          </w:tcPr>
          <w:p w14:paraId="20E9265D" w14:textId="1B37A7AA" w:rsidR="008F70BD" w:rsidRPr="003B743E" w:rsidRDefault="00CB52D5" w:rsidP="008F70BD">
            <w:pPr>
              <w:spacing w:before="0" w:after="120"/>
              <w:contextualSpacing/>
              <w:rPr>
                <w:rFonts w:cstheme="minorHAnsi"/>
                <w:szCs w:val="22"/>
              </w:rPr>
            </w:pPr>
            <w:r>
              <w:rPr>
                <w:rFonts w:cstheme="minorHAnsi"/>
                <w:szCs w:val="22"/>
              </w:rPr>
              <w:lastRenderedPageBreak/>
              <w:t>4</w:t>
            </w:r>
          </w:p>
        </w:tc>
        <w:tc>
          <w:tcPr>
            <w:tcW w:w="1641" w:type="dxa"/>
          </w:tcPr>
          <w:p w14:paraId="2B718AE3" w14:textId="0D54F0AA" w:rsidR="008F70BD" w:rsidRPr="0076364F" w:rsidRDefault="008F70BD" w:rsidP="008F70BD">
            <w:pPr>
              <w:spacing w:before="0" w:after="120"/>
              <w:contextualSpacing/>
              <w:rPr>
                <w:rFonts w:cstheme="minorHAnsi"/>
                <w:szCs w:val="22"/>
              </w:rPr>
            </w:pPr>
            <w:r w:rsidRPr="0076364F">
              <w:rPr>
                <w:rFonts w:cstheme="minorHAnsi"/>
                <w:szCs w:val="22"/>
              </w:rPr>
              <w:t>EECO12</w:t>
            </w:r>
          </w:p>
        </w:tc>
        <w:tc>
          <w:tcPr>
            <w:tcW w:w="2976" w:type="dxa"/>
          </w:tcPr>
          <w:p w14:paraId="3DE9FCC8" w14:textId="6076ED79" w:rsidR="008F70BD" w:rsidRPr="0076364F" w:rsidRDefault="008F70BD" w:rsidP="008F70BD">
            <w:pPr>
              <w:spacing w:before="0"/>
              <w:contextualSpacing/>
              <w:rPr>
                <w:rFonts w:cstheme="minorHAnsi"/>
                <w:szCs w:val="22"/>
              </w:rPr>
            </w:pPr>
            <w:r w:rsidRPr="0076364F">
              <w:rPr>
                <w:rFonts w:cstheme="minorHAnsi"/>
                <w:szCs w:val="22"/>
              </w:rPr>
              <w:t xml:space="preserve">Liczba osób z niepełnosprawnościami objętych wsparciem </w:t>
            </w:r>
            <w:r w:rsidRPr="0076364F">
              <w:rPr>
                <w:rFonts w:cstheme="minorHAnsi"/>
                <w:szCs w:val="22"/>
              </w:rPr>
              <w:br/>
              <w:t>w programie (osoby)</w:t>
            </w:r>
          </w:p>
        </w:tc>
        <w:tc>
          <w:tcPr>
            <w:tcW w:w="8080" w:type="dxa"/>
          </w:tcPr>
          <w:p w14:paraId="0FA3289B" w14:textId="0F764D3A" w:rsidR="008F70BD" w:rsidRPr="0076364F" w:rsidRDefault="008F70BD" w:rsidP="008F70BD">
            <w:pPr>
              <w:spacing w:before="0" w:after="120"/>
              <w:rPr>
                <w:rFonts w:cstheme="minorHAnsi"/>
                <w:szCs w:val="22"/>
              </w:rPr>
            </w:pPr>
            <w:r w:rsidRPr="0076364F">
              <w:rPr>
                <w:rFonts w:cstheme="minorHAnsi"/>
                <w:szCs w:val="22"/>
              </w:rPr>
              <w:t xml:space="preserve">Za osoby z niepełnosprawnościami uznaje się osoby niepełnosprawne w świetle przepisów ustawy z dnia 27 sierpnia 1997 r. o rehabilitacji zawodowej i społecznej oraz zatrudnianiu osób niepełnosprawnych, a także osoby z zaburzeniami psychicznymi, </w:t>
            </w:r>
            <w:r w:rsidR="007F2C90">
              <w:rPr>
                <w:rFonts w:cstheme="minorHAnsi"/>
                <w:szCs w:val="22"/>
              </w:rPr>
              <w:br/>
            </w:r>
            <w:r w:rsidRPr="0076364F">
              <w:rPr>
                <w:rFonts w:cstheme="minorHAnsi"/>
                <w:szCs w:val="22"/>
              </w:rPr>
              <w:t xml:space="preserve">o których mowa w ustawie z dnia 19 sierpnia 1994 r. o ochronie zdrowia psychicznego tj. osoby z odpowiednim orzeczeniem lub innym dokumentem poświadczającym stan zdrowia. </w:t>
            </w:r>
            <w:r w:rsidRPr="0076364F">
              <w:rPr>
                <w:rFonts w:cstheme="minorHAnsi"/>
                <w:szCs w:val="22"/>
              </w:rPr>
              <w:br/>
              <w:t>Przynależność do grupy osób z niepełnosprawnościami określana jest w momencie rozpoczęcia udziału w projekcie, tj. w chwili rozpoczęcia udziału w pierwszej formie wsparcia w projekcie.</w:t>
            </w:r>
          </w:p>
        </w:tc>
      </w:tr>
      <w:tr w:rsidR="008F70BD" w:rsidRPr="003B743E" w14:paraId="476DA932" w14:textId="77777777" w:rsidTr="0000011A">
        <w:tc>
          <w:tcPr>
            <w:tcW w:w="486" w:type="dxa"/>
          </w:tcPr>
          <w:p w14:paraId="628694FB" w14:textId="3051AAF6" w:rsidR="008F70BD" w:rsidRPr="003B743E" w:rsidRDefault="00CB52D5" w:rsidP="008F70BD">
            <w:pPr>
              <w:spacing w:before="0" w:after="120"/>
              <w:contextualSpacing/>
              <w:rPr>
                <w:rFonts w:cstheme="minorHAnsi"/>
                <w:szCs w:val="22"/>
              </w:rPr>
            </w:pPr>
            <w:r>
              <w:rPr>
                <w:rFonts w:cstheme="minorHAnsi"/>
                <w:szCs w:val="22"/>
              </w:rPr>
              <w:t>5</w:t>
            </w:r>
          </w:p>
        </w:tc>
        <w:tc>
          <w:tcPr>
            <w:tcW w:w="1641" w:type="dxa"/>
          </w:tcPr>
          <w:p w14:paraId="600E406B" w14:textId="7F26C1CA" w:rsidR="008F70BD" w:rsidRPr="0076364F" w:rsidRDefault="008F70BD" w:rsidP="008F70BD">
            <w:pPr>
              <w:spacing w:before="0" w:after="120"/>
              <w:contextualSpacing/>
              <w:rPr>
                <w:rFonts w:cstheme="minorHAnsi"/>
                <w:szCs w:val="22"/>
              </w:rPr>
            </w:pPr>
            <w:r w:rsidRPr="0076364F">
              <w:rPr>
                <w:rFonts w:cstheme="minorHAnsi"/>
                <w:szCs w:val="22"/>
              </w:rPr>
              <w:t>EECO13</w:t>
            </w:r>
          </w:p>
        </w:tc>
        <w:tc>
          <w:tcPr>
            <w:tcW w:w="2976" w:type="dxa"/>
          </w:tcPr>
          <w:p w14:paraId="1DCA2902" w14:textId="54D35F62" w:rsidR="008F70BD" w:rsidRPr="0076364F" w:rsidRDefault="008F70BD" w:rsidP="008F70BD">
            <w:pPr>
              <w:spacing w:before="0"/>
              <w:contextualSpacing/>
              <w:rPr>
                <w:rFonts w:cstheme="minorHAnsi"/>
                <w:szCs w:val="22"/>
              </w:rPr>
            </w:pPr>
            <w:r w:rsidRPr="0076364F">
              <w:rPr>
                <w:rFonts w:cstheme="minorHAnsi"/>
                <w:szCs w:val="22"/>
              </w:rPr>
              <w:t>Liczba osób z krajów trzecich objętych wsparciem w programie (osoby)</w:t>
            </w:r>
          </w:p>
        </w:tc>
        <w:tc>
          <w:tcPr>
            <w:tcW w:w="8080" w:type="dxa"/>
          </w:tcPr>
          <w:p w14:paraId="122E40FE" w14:textId="77777777" w:rsidR="008F70BD" w:rsidRPr="0076364F" w:rsidRDefault="008F70BD" w:rsidP="0000011A">
            <w:pPr>
              <w:spacing w:beforeAutospacing="1" w:after="120"/>
              <w:rPr>
                <w:rFonts w:cstheme="minorHAnsi"/>
                <w:szCs w:val="22"/>
              </w:rPr>
            </w:pPr>
            <w:r w:rsidRPr="0076364F">
              <w:rPr>
                <w:rFonts w:cstheme="minorHAnsi"/>
                <w:szCs w:val="22"/>
              </w:rPr>
              <w:t xml:space="preserve">Osoby, które są obywatelami krajów spoza UE. Do wskaźnika wlicza się też bezpaństwowców zgodnie z Konwencją o statusie bezpaństwowców z 1954 r. i osoby bez ustalonego obywatelstwa. </w:t>
            </w:r>
          </w:p>
          <w:p w14:paraId="60841D87" w14:textId="13BB31E8" w:rsidR="008F70BD" w:rsidRPr="0076364F" w:rsidRDefault="008F70BD" w:rsidP="0000011A">
            <w:pPr>
              <w:spacing w:before="120" w:after="120"/>
              <w:rPr>
                <w:rFonts w:cstheme="minorHAnsi"/>
                <w:szCs w:val="22"/>
              </w:rPr>
            </w:pPr>
            <w:r w:rsidRPr="0076364F">
              <w:rPr>
                <w:rFonts w:cstheme="minorHAnsi"/>
                <w:szCs w:val="22"/>
              </w:rPr>
              <w:t xml:space="preserve">Przynależność do grupy osób z krajów trzecich określana jest w momencie rozpoczęcia udziału w projekcie, tj. w chwili rozpoczęcia udziału w pierwszej formie wsparcia </w:t>
            </w:r>
            <w:r w:rsidR="007F2C90">
              <w:rPr>
                <w:rFonts w:cstheme="minorHAnsi"/>
                <w:szCs w:val="22"/>
              </w:rPr>
              <w:br/>
            </w:r>
            <w:r w:rsidRPr="0076364F">
              <w:rPr>
                <w:rFonts w:cstheme="minorHAnsi"/>
                <w:szCs w:val="22"/>
              </w:rPr>
              <w:t>w projekcie.</w:t>
            </w:r>
          </w:p>
        </w:tc>
      </w:tr>
      <w:tr w:rsidR="008F70BD" w:rsidRPr="003B743E" w14:paraId="2F436556" w14:textId="77777777" w:rsidTr="0000011A">
        <w:tc>
          <w:tcPr>
            <w:tcW w:w="486" w:type="dxa"/>
          </w:tcPr>
          <w:p w14:paraId="311E7A71" w14:textId="6D4ADF4B" w:rsidR="008F70BD" w:rsidRPr="003B743E" w:rsidRDefault="00CB52D5" w:rsidP="008F70BD">
            <w:pPr>
              <w:spacing w:before="0" w:after="120"/>
              <w:contextualSpacing/>
              <w:rPr>
                <w:rFonts w:cstheme="minorHAnsi"/>
                <w:szCs w:val="22"/>
              </w:rPr>
            </w:pPr>
            <w:r>
              <w:rPr>
                <w:rFonts w:cstheme="minorHAnsi"/>
                <w:szCs w:val="22"/>
              </w:rPr>
              <w:t>6</w:t>
            </w:r>
          </w:p>
        </w:tc>
        <w:tc>
          <w:tcPr>
            <w:tcW w:w="1641" w:type="dxa"/>
          </w:tcPr>
          <w:p w14:paraId="794C103F" w14:textId="76DF4A2E" w:rsidR="008F70BD" w:rsidRPr="0076364F" w:rsidRDefault="008F70BD" w:rsidP="008F70BD">
            <w:pPr>
              <w:spacing w:before="0" w:after="120"/>
              <w:contextualSpacing/>
              <w:rPr>
                <w:rFonts w:cstheme="minorHAnsi"/>
                <w:szCs w:val="22"/>
              </w:rPr>
            </w:pPr>
            <w:r w:rsidRPr="0076364F">
              <w:rPr>
                <w:rFonts w:cstheme="minorHAnsi"/>
                <w:szCs w:val="22"/>
              </w:rPr>
              <w:t>EECO14</w:t>
            </w:r>
          </w:p>
        </w:tc>
        <w:tc>
          <w:tcPr>
            <w:tcW w:w="2976" w:type="dxa"/>
          </w:tcPr>
          <w:p w14:paraId="761840DC" w14:textId="4A40503D" w:rsidR="008F70BD" w:rsidRPr="0076364F" w:rsidRDefault="008F70BD" w:rsidP="008F70BD">
            <w:pPr>
              <w:spacing w:before="0"/>
              <w:contextualSpacing/>
              <w:rPr>
                <w:rFonts w:cstheme="minorHAnsi"/>
                <w:szCs w:val="22"/>
              </w:rPr>
            </w:pPr>
            <w:r w:rsidRPr="0076364F">
              <w:rPr>
                <w:rFonts w:cstheme="minorHAnsi"/>
                <w:szCs w:val="22"/>
              </w:rPr>
              <w:t>Liczba osób obcego pochodzenia objętych wsparciem w programie (osoby)</w:t>
            </w:r>
          </w:p>
        </w:tc>
        <w:tc>
          <w:tcPr>
            <w:tcW w:w="8080" w:type="dxa"/>
          </w:tcPr>
          <w:p w14:paraId="2BD178BF" w14:textId="77777777" w:rsidR="008F70BD" w:rsidRPr="0076364F" w:rsidRDefault="008F70BD" w:rsidP="0000011A">
            <w:pPr>
              <w:spacing w:beforeAutospacing="1"/>
              <w:rPr>
                <w:rFonts w:cstheme="minorHAnsi"/>
                <w:szCs w:val="22"/>
              </w:rPr>
            </w:pPr>
            <w:r w:rsidRPr="0076364F">
              <w:rPr>
                <w:rFonts w:cstheme="minorHAnsi"/>
                <w:szCs w:val="22"/>
              </w:rPr>
              <w:t xml:space="preserve">Osoby obcego pochodzenia to cudzoziemcy - każda osoba, która nie posiada polskiego obywatelstwa, bez względu na fakt posiadania lub nie obywatelstwa (obywatelstw) innych krajów. </w:t>
            </w:r>
          </w:p>
          <w:p w14:paraId="1E11F14F" w14:textId="77777777" w:rsidR="008F70BD" w:rsidRPr="0076364F" w:rsidRDefault="008F70BD" w:rsidP="00B45229">
            <w:pPr>
              <w:spacing w:before="120" w:after="120"/>
              <w:rPr>
                <w:rFonts w:cstheme="minorHAnsi"/>
                <w:szCs w:val="22"/>
              </w:rPr>
            </w:pPr>
            <w:r w:rsidRPr="0076364F">
              <w:rPr>
                <w:rFonts w:cstheme="minorHAnsi"/>
                <w:szCs w:val="22"/>
              </w:rP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316326D6" w14:textId="456A7D16" w:rsidR="008F70BD" w:rsidRPr="0076364F" w:rsidRDefault="008F70BD" w:rsidP="00B45229">
            <w:pPr>
              <w:spacing w:before="120" w:after="120"/>
              <w:rPr>
                <w:rFonts w:cstheme="minorHAnsi"/>
                <w:szCs w:val="22"/>
              </w:rPr>
            </w:pPr>
            <w:r w:rsidRPr="0076364F">
              <w:rPr>
                <w:rFonts w:cstheme="minorHAnsi"/>
                <w:szCs w:val="22"/>
              </w:rPr>
              <w:t>Przynależność do grupy osób obcego pochodzenia określana jest w momencie rozpoczęcia udziału w projekcie, tj. w chwili rozpoczęcia udziału w pierwszej formie wsparcia w projekcie.</w:t>
            </w:r>
          </w:p>
          <w:p w14:paraId="1B7D416B" w14:textId="43D5AFFE" w:rsidR="008F70BD" w:rsidRPr="0076364F" w:rsidRDefault="008F70BD" w:rsidP="008F70BD">
            <w:pPr>
              <w:spacing w:before="0" w:after="120"/>
              <w:rPr>
                <w:rFonts w:cstheme="minorHAnsi"/>
                <w:szCs w:val="22"/>
              </w:rPr>
            </w:pPr>
            <w:r w:rsidRPr="0076364F">
              <w:rPr>
                <w:rFonts w:cstheme="minorHAnsi"/>
                <w:szCs w:val="22"/>
              </w:rPr>
              <w:t>Informacje dodatkowe: Wskaźnik będzie obejmował zawsze osoby z krajów trzecich, zliczane we wskaźniku EECO13: liczba osób z krajów trzecich objętych wsparciem w programie.</w:t>
            </w:r>
          </w:p>
        </w:tc>
      </w:tr>
      <w:tr w:rsidR="008F70BD" w:rsidRPr="003B743E" w14:paraId="72E5DE55" w14:textId="77777777" w:rsidTr="0000011A">
        <w:tc>
          <w:tcPr>
            <w:tcW w:w="486" w:type="dxa"/>
          </w:tcPr>
          <w:p w14:paraId="5500C53F" w14:textId="040A2615" w:rsidR="008F70BD" w:rsidRPr="003B743E" w:rsidRDefault="00CB52D5" w:rsidP="008F70BD">
            <w:pPr>
              <w:spacing w:before="0" w:after="120"/>
              <w:contextualSpacing/>
              <w:rPr>
                <w:rFonts w:cstheme="minorHAnsi"/>
                <w:szCs w:val="22"/>
              </w:rPr>
            </w:pPr>
            <w:r>
              <w:rPr>
                <w:rFonts w:cstheme="minorHAnsi"/>
                <w:szCs w:val="22"/>
              </w:rPr>
              <w:t>7</w:t>
            </w:r>
          </w:p>
        </w:tc>
        <w:tc>
          <w:tcPr>
            <w:tcW w:w="1641" w:type="dxa"/>
          </w:tcPr>
          <w:p w14:paraId="199BD2D0" w14:textId="2432F4FC" w:rsidR="008F70BD" w:rsidRPr="0076364F" w:rsidRDefault="008F70BD" w:rsidP="008F70BD">
            <w:pPr>
              <w:spacing w:before="0" w:after="120"/>
              <w:contextualSpacing/>
              <w:rPr>
                <w:rFonts w:cstheme="minorHAnsi"/>
                <w:szCs w:val="22"/>
              </w:rPr>
            </w:pPr>
            <w:r w:rsidRPr="0076364F">
              <w:rPr>
                <w:rFonts w:cstheme="minorHAnsi"/>
                <w:szCs w:val="22"/>
              </w:rPr>
              <w:t>EECO15</w:t>
            </w:r>
          </w:p>
        </w:tc>
        <w:tc>
          <w:tcPr>
            <w:tcW w:w="2976" w:type="dxa"/>
          </w:tcPr>
          <w:p w14:paraId="09F32FA3" w14:textId="11D0743B" w:rsidR="008F70BD" w:rsidRPr="0076364F" w:rsidRDefault="008F70BD" w:rsidP="008F70BD">
            <w:pPr>
              <w:spacing w:before="0"/>
              <w:contextualSpacing/>
              <w:rPr>
                <w:rFonts w:cstheme="minorHAnsi"/>
                <w:szCs w:val="22"/>
              </w:rPr>
            </w:pPr>
            <w:r w:rsidRPr="0076364F">
              <w:rPr>
                <w:rFonts w:cstheme="minorHAnsi"/>
                <w:szCs w:val="22"/>
              </w:rPr>
              <w:t xml:space="preserve">Liczba osób należących do mniejszości, </w:t>
            </w:r>
            <w:r w:rsidRPr="0076364F">
              <w:rPr>
                <w:rFonts w:cstheme="minorHAnsi"/>
                <w:szCs w:val="22"/>
              </w:rPr>
              <w:br/>
            </w:r>
            <w:r w:rsidRPr="0076364F">
              <w:rPr>
                <w:rFonts w:cstheme="minorHAnsi"/>
                <w:szCs w:val="22"/>
              </w:rPr>
              <w:lastRenderedPageBreak/>
              <w:t xml:space="preserve">w tym społeczności marginalizowanych takich jak Romowie, objętych wsparciem </w:t>
            </w:r>
            <w:r w:rsidRPr="0076364F">
              <w:rPr>
                <w:rFonts w:cstheme="minorHAnsi"/>
                <w:szCs w:val="22"/>
              </w:rPr>
              <w:br/>
              <w:t>w programie (osoby)</w:t>
            </w:r>
          </w:p>
        </w:tc>
        <w:tc>
          <w:tcPr>
            <w:tcW w:w="8080" w:type="dxa"/>
          </w:tcPr>
          <w:p w14:paraId="15CA8FEB" w14:textId="214D9CEC" w:rsidR="008F70BD" w:rsidRPr="0076364F" w:rsidRDefault="008F70BD" w:rsidP="00B45229">
            <w:pPr>
              <w:spacing w:beforeAutospacing="1" w:after="120"/>
              <w:rPr>
                <w:rFonts w:cstheme="minorHAnsi"/>
                <w:szCs w:val="22"/>
              </w:rPr>
            </w:pPr>
            <w:r w:rsidRPr="0076364F">
              <w:rPr>
                <w:rFonts w:cstheme="minorHAnsi"/>
                <w:szCs w:val="22"/>
              </w:rPr>
              <w:lastRenderedPageBreak/>
              <w:t xml:space="preserve">Wskaźnik obejmuje osoby należące do mniejszości narodowych i etnicznych biorące udział w projektach EFS+. Zgodnie z prawem krajowym mniejszości narodowe to </w:t>
            </w:r>
            <w:r w:rsidRPr="0076364F">
              <w:rPr>
                <w:rFonts w:cstheme="minorHAnsi"/>
                <w:szCs w:val="22"/>
              </w:rPr>
              <w:lastRenderedPageBreak/>
              <w:t>mniejszość: białoruska, czeska, litewska, niemiecka, ormiańska, rosyjska, słowacka, ukraińska, żydowska. Mniejszości etniczne: karaimska, łemkowska, romska, tatarska.</w:t>
            </w:r>
          </w:p>
          <w:p w14:paraId="16FFEDBC" w14:textId="71631DF2" w:rsidR="008F70BD" w:rsidRPr="0076364F" w:rsidRDefault="008F70BD" w:rsidP="00B45229">
            <w:pPr>
              <w:spacing w:before="120" w:after="120"/>
              <w:rPr>
                <w:rFonts w:cstheme="minorHAnsi"/>
                <w:szCs w:val="22"/>
              </w:rPr>
            </w:pPr>
            <w:r w:rsidRPr="0076364F">
              <w:rPr>
                <w:rFonts w:cstheme="minorHAnsi"/>
                <w:szCs w:val="22"/>
              </w:rPr>
              <w:t>Definicja opracowana na podstawie ustawy z dnia 6 stycznia 2005 r. o mniejszościach narodowych i etnicznych oraz o języku regionalnym.</w:t>
            </w:r>
          </w:p>
          <w:p w14:paraId="6D766AA3" w14:textId="73500415" w:rsidR="008F70BD" w:rsidRPr="0076364F" w:rsidRDefault="008F70BD" w:rsidP="00B45229">
            <w:pPr>
              <w:spacing w:before="120" w:after="120"/>
              <w:rPr>
                <w:rFonts w:cstheme="minorHAnsi"/>
                <w:szCs w:val="22"/>
              </w:rPr>
            </w:pPr>
            <w:r w:rsidRPr="0076364F">
              <w:rPr>
                <w:rFonts w:cstheme="minorHAnsi"/>
                <w:szCs w:val="22"/>
              </w:rPr>
              <w:t>Przynależność do grupy osób należących do mniejszości określana jest w momencie rozpoczęcia udziału w projekcie, tj. w chwili rozpoczęcia udziału w pierwszej formie wsparcia w projekcie.</w:t>
            </w:r>
          </w:p>
        </w:tc>
      </w:tr>
      <w:tr w:rsidR="008F70BD" w:rsidRPr="003B743E" w14:paraId="113DA0F6" w14:textId="77777777" w:rsidTr="0000011A">
        <w:tc>
          <w:tcPr>
            <w:tcW w:w="486" w:type="dxa"/>
          </w:tcPr>
          <w:p w14:paraId="778F4B1A" w14:textId="4D4B1146" w:rsidR="008F70BD" w:rsidRPr="003B743E" w:rsidRDefault="00CB52D5" w:rsidP="008F70BD">
            <w:pPr>
              <w:spacing w:before="0" w:after="120"/>
              <w:contextualSpacing/>
              <w:rPr>
                <w:rFonts w:cstheme="minorHAnsi"/>
                <w:szCs w:val="22"/>
              </w:rPr>
            </w:pPr>
            <w:r>
              <w:rPr>
                <w:rFonts w:cstheme="minorHAnsi"/>
                <w:szCs w:val="22"/>
              </w:rPr>
              <w:lastRenderedPageBreak/>
              <w:t>8</w:t>
            </w:r>
          </w:p>
        </w:tc>
        <w:tc>
          <w:tcPr>
            <w:tcW w:w="1641" w:type="dxa"/>
          </w:tcPr>
          <w:p w14:paraId="4F4117C2" w14:textId="549B84F4" w:rsidR="008F70BD" w:rsidRPr="0076364F" w:rsidRDefault="008F70BD" w:rsidP="008F70BD">
            <w:pPr>
              <w:spacing w:before="0" w:after="120"/>
              <w:contextualSpacing/>
              <w:rPr>
                <w:rFonts w:cstheme="minorHAnsi"/>
                <w:b/>
                <w:szCs w:val="22"/>
              </w:rPr>
            </w:pPr>
            <w:r w:rsidRPr="0076364F">
              <w:rPr>
                <w:rFonts w:cstheme="minorHAnsi"/>
                <w:szCs w:val="22"/>
              </w:rPr>
              <w:t>EECO16</w:t>
            </w:r>
          </w:p>
        </w:tc>
        <w:tc>
          <w:tcPr>
            <w:tcW w:w="2976" w:type="dxa"/>
          </w:tcPr>
          <w:p w14:paraId="0F395C4C" w14:textId="0F7F6247" w:rsidR="008F70BD" w:rsidRPr="0076364F" w:rsidRDefault="008F70BD" w:rsidP="008F70BD">
            <w:pPr>
              <w:spacing w:before="0"/>
              <w:contextualSpacing/>
              <w:rPr>
                <w:rFonts w:cstheme="minorHAnsi"/>
                <w:b/>
                <w:szCs w:val="22"/>
              </w:rPr>
            </w:pPr>
            <w:r w:rsidRPr="0076364F">
              <w:rPr>
                <w:rFonts w:cstheme="minorHAnsi"/>
                <w:szCs w:val="22"/>
              </w:rPr>
              <w:t>Liczba osób w kryzysie bezdomności lub dotkniętych wykluczeniem z dostępu do mieszkań, objętych wsparciem w programie (osoby)</w:t>
            </w:r>
          </w:p>
        </w:tc>
        <w:tc>
          <w:tcPr>
            <w:tcW w:w="8080" w:type="dxa"/>
          </w:tcPr>
          <w:p w14:paraId="3DF67472" w14:textId="77777777" w:rsidR="008F70BD" w:rsidRPr="0076364F" w:rsidRDefault="008F70BD" w:rsidP="00B45229">
            <w:pPr>
              <w:spacing w:beforeAutospacing="1" w:after="120"/>
              <w:rPr>
                <w:rFonts w:cstheme="minorHAnsi"/>
                <w:szCs w:val="22"/>
              </w:rPr>
            </w:pPr>
            <w:r w:rsidRPr="0076364F">
              <w:rPr>
                <w:rFonts w:cstheme="minorHAnsi"/>
                <w:szCs w:val="22"/>
              </w:rPr>
              <w:t>We wskaźniku wykazywane są osoby w kryzysie bezdomności lub dotknięte wykluczeniem z dostępu do mieszkań.</w:t>
            </w:r>
          </w:p>
          <w:p w14:paraId="32DE0FF5" w14:textId="0366994D" w:rsidR="008F70BD" w:rsidRPr="0076364F" w:rsidRDefault="008F70BD" w:rsidP="00B45229">
            <w:pPr>
              <w:spacing w:before="120" w:after="120"/>
              <w:rPr>
                <w:rFonts w:cstheme="minorHAnsi"/>
                <w:szCs w:val="22"/>
              </w:rPr>
            </w:pPr>
            <w:r w:rsidRPr="0076364F">
              <w:rPr>
                <w:rFonts w:cstheme="minorHAnsi"/>
                <w:szCs w:val="22"/>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0C16FBFB" w14:textId="77777777" w:rsidR="008F70BD" w:rsidRPr="0076364F" w:rsidRDefault="008F70BD" w:rsidP="008F70BD">
            <w:pPr>
              <w:numPr>
                <w:ilvl w:val="0"/>
                <w:numId w:val="49"/>
              </w:numPr>
              <w:spacing w:beforeAutospacing="1" w:after="100" w:afterAutospacing="1"/>
              <w:ind w:left="462"/>
              <w:contextualSpacing/>
              <w:rPr>
                <w:rFonts w:cstheme="minorHAnsi"/>
                <w:szCs w:val="22"/>
              </w:rPr>
            </w:pPr>
            <w:r w:rsidRPr="0076364F">
              <w:rPr>
                <w:rFonts w:cstheme="minorHAnsi"/>
                <w:szCs w:val="22"/>
              </w:rPr>
              <w:t>Bez dachu nad głową, w tym osoby żyjące w przestrzeni publicznej lub zakwaterowane interwencyjnie;</w:t>
            </w:r>
          </w:p>
          <w:p w14:paraId="68CD74B8" w14:textId="154F068E" w:rsidR="008F70BD" w:rsidRPr="0076364F" w:rsidRDefault="008F70BD" w:rsidP="008F70BD">
            <w:pPr>
              <w:numPr>
                <w:ilvl w:val="0"/>
                <w:numId w:val="49"/>
              </w:numPr>
              <w:spacing w:beforeAutospacing="1" w:after="100" w:afterAutospacing="1"/>
              <w:ind w:left="462"/>
              <w:contextualSpacing/>
              <w:rPr>
                <w:rFonts w:cstheme="minorHAnsi"/>
                <w:szCs w:val="22"/>
              </w:rPr>
            </w:pPr>
            <w:r w:rsidRPr="0076364F">
              <w:rPr>
                <w:rFonts w:cstheme="minorHAnsi"/>
                <w:szCs w:val="22"/>
              </w:rPr>
              <w:t xml:space="preserve">Bez mieszkania, w tym osoby zakwaterowane w placówkach dla bezdomnych, </w:t>
            </w:r>
            <w:r w:rsidR="007F2C90">
              <w:rPr>
                <w:rFonts w:cstheme="minorHAnsi"/>
                <w:szCs w:val="22"/>
              </w:rPr>
              <w:br/>
            </w:r>
            <w:r w:rsidRPr="0076364F">
              <w:rPr>
                <w:rFonts w:cstheme="minorHAnsi"/>
                <w:szCs w:val="22"/>
              </w:rPr>
              <w:t xml:space="preserve">w schroniskach dla kobiet, schroniskach dla imigrantów, osoby opuszczające instytucje penitencjarne/ karne/medyczne, instytucje opiekuńcze, osoby otrzymujące długookresowe wsparcie z powodu bezdomności - specjalistyczne zakwaterowanie wspierane); </w:t>
            </w:r>
          </w:p>
          <w:p w14:paraId="2D039AF3" w14:textId="77777777" w:rsidR="008F70BD" w:rsidRPr="0076364F" w:rsidRDefault="008F70BD" w:rsidP="008F70BD">
            <w:pPr>
              <w:numPr>
                <w:ilvl w:val="0"/>
                <w:numId w:val="49"/>
              </w:numPr>
              <w:spacing w:beforeAutospacing="1" w:after="100" w:afterAutospacing="1"/>
              <w:ind w:left="462"/>
              <w:contextualSpacing/>
              <w:rPr>
                <w:rFonts w:cstheme="minorHAnsi"/>
                <w:szCs w:val="22"/>
              </w:rPr>
            </w:pPr>
            <w:r w:rsidRPr="0076364F">
              <w:rPr>
                <w:rFonts w:cstheme="minorHAnsi"/>
                <w:szCs w:val="22"/>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E5C2986" w14:textId="77777777" w:rsidR="008F70BD" w:rsidRPr="0076364F" w:rsidRDefault="008F70BD" w:rsidP="008F70BD">
            <w:pPr>
              <w:numPr>
                <w:ilvl w:val="0"/>
                <w:numId w:val="49"/>
              </w:numPr>
              <w:spacing w:beforeAutospacing="1" w:after="100" w:afterAutospacing="1"/>
              <w:ind w:left="462"/>
              <w:contextualSpacing/>
              <w:rPr>
                <w:rFonts w:cstheme="minorHAnsi"/>
                <w:szCs w:val="22"/>
              </w:rPr>
            </w:pPr>
            <w:r w:rsidRPr="0076364F">
              <w:rPr>
                <w:rFonts w:cstheme="minorHAnsi"/>
                <w:szCs w:val="22"/>
              </w:rPr>
              <w:t xml:space="preserve">Nieodpowiednie warunki mieszkaniowe, w tym osoby zamieszkujące konstrukcje tymczasowe/nietrwałe, mieszkania </w:t>
            </w:r>
            <w:proofErr w:type="spellStart"/>
            <w:r w:rsidRPr="0076364F">
              <w:rPr>
                <w:rFonts w:cstheme="minorHAnsi"/>
                <w:szCs w:val="22"/>
              </w:rPr>
              <w:t>substandardowe</w:t>
            </w:r>
            <w:proofErr w:type="spellEnd"/>
            <w:r w:rsidRPr="0076364F">
              <w:rPr>
                <w:rFonts w:cstheme="minorHAnsi"/>
                <w:szCs w:val="22"/>
              </w:rPr>
              <w:t xml:space="preserve"> - lokale nienadające się do zamieszkania wg standardu krajowego, w warunkach skrajnego przeludnienia;</w:t>
            </w:r>
          </w:p>
          <w:p w14:paraId="30B2044C" w14:textId="7AEA9B26" w:rsidR="008F70BD" w:rsidRPr="0076364F" w:rsidRDefault="008F70BD" w:rsidP="008F70BD">
            <w:pPr>
              <w:numPr>
                <w:ilvl w:val="0"/>
                <w:numId w:val="49"/>
              </w:numPr>
              <w:spacing w:beforeAutospacing="1" w:after="100" w:afterAutospacing="1"/>
              <w:ind w:left="462"/>
              <w:contextualSpacing/>
              <w:rPr>
                <w:rFonts w:cstheme="minorHAnsi"/>
                <w:szCs w:val="22"/>
              </w:rPr>
            </w:pPr>
            <w:r w:rsidRPr="0076364F">
              <w:rPr>
                <w:rFonts w:cstheme="minorHAnsi"/>
                <w:szCs w:val="22"/>
              </w:rPr>
              <w:lastRenderedPageBreak/>
              <w:t xml:space="preserve">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t>
            </w:r>
            <w:r w:rsidR="007F2C90">
              <w:rPr>
                <w:rFonts w:cstheme="minorHAnsi"/>
                <w:szCs w:val="22"/>
              </w:rPr>
              <w:br/>
            </w:r>
            <w:r w:rsidRPr="0076364F">
              <w:rPr>
                <w:rFonts w:cstheme="minorHAnsi"/>
                <w:szCs w:val="22"/>
              </w:rPr>
              <w:t>w którym nie ma możliwości zamieszkania.</w:t>
            </w:r>
          </w:p>
          <w:p w14:paraId="385BB2F3" w14:textId="77777777" w:rsidR="008F70BD" w:rsidRPr="0076364F" w:rsidRDefault="008F70BD" w:rsidP="00B45229">
            <w:pPr>
              <w:spacing w:beforeAutospacing="1" w:after="120"/>
              <w:rPr>
                <w:rFonts w:cstheme="minorHAnsi"/>
                <w:szCs w:val="22"/>
              </w:rPr>
            </w:pPr>
            <w:r w:rsidRPr="0076364F">
              <w:rPr>
                <w:rFonts w:cstheme="minorHAnsi"/>
                <w:szCs w:val="22"/>
              </w:rPr>
              <w:t>Osoby dorosłe mieszkające z rodzicami nie powinny być wykazywane we wskaźniku, chyba że wszystkie te osoby są w kryzysie bezdomności lub mieszkają w nieodpowiednich i niebezpiecznych warunkach.</w:t>
            </w:r>
          </w:p>
          <w:p w14:paraId="7AE729DB" w14:textId="29674C66" w:rsidR="008F70BD" w:rsidRPr="0076364F" w:rsidRDefault="008F70BD" w:rsidP="00B45229">
            <w:pPr>
              <w:spacing w:before="120" w:after="120"/>
              <w:rPr>
                <w:rFonts w:cstheme="minorHAnsi"/>
                <w:szCs w:val="22"/>
              </w:rPr>
            </w:pPr>
            <w:r w:rsidRPr="0076364F">
              <w:rPr>
                <w:rFonts w:cstheme="minorHAnsi"/>
                <w:szCs w:val="22"/>
              </w:rPr>
              <w:t xml:space="preserve">Przynależność do grupy osób w kryzysie bezdomności lub dotkniętych wykluczeniem </w:t>
            </w:r>
            <w:r w:rsidR="007F2C90">
              <w:rPr>
                <w:rFonts w:cstheme="minorHAnsi"/>
                <w:szCs w:val="22"/>
              </w:rPr>
              <w:br/>
            </w:r>
            <w:r w:rsidRPr="0076364F">
              <w:rPr>
                <w:rFonts w:cstheme="minorHAnsi"/>
                <w:szCs w:val="22"/>
              </w:rPr>
              <w:t xml:space="preserve">z dostępu do mieszkań określana jest w momencie rozpoczęcia udziału w projekcie, tj. </w:t>
            </w:r>
            <w:r w:rsidR="007F2C90">
              <w:rPr>
                <w:rFonts w:cstheme="minorHAnsi"/>
                <w:szCs w:val="22"/>
              </w:rPr>
              <w:br/>
            </w:r>
            <w:r w:rsidRPr="0076364F">
              <w:rPr>
                <w:rFonts w:cstheme="minorHAnsi"/>
                <w:szCs w:val="22"/>
              </w:rPr>
              <w:t xml:space="preserve">w chwili rozpoczęcia udziału w pierwszej formie wsparcia w projekcie. </w:t>
            </w:r>
          </w:p>
        </w:tc>
      </w:tr>
    </w:tbl>
    <w:p w14:paraId="02D761FC" w14:textId="77777777" w:rsidR="00622E9C" w:rsidRPr="00DA6AE6" w:rsidRDefault="00622E9C" w:rsidP="00E96A7B">
      <w:pPr>
        <w:spacing w:line="240" w:lineRule="auto"/>
        <w:rPr>
          <w:rFonts w:cstheme="minorHAnsi"/>
          <w:szCs w:val="22"/>
        </w:rPr>
      </w:pPr>
      <w:r w:rsidRPr="00DA6AE6">
        <w:rPr>
          <w:rFonts w:cstheme="minorHAnsi"/>
          <w:szCs w:val="22"/>
        </w:rPr>
        <w:lastRenderedPageBreak/>
        <w:br w:type="page"/>
      </w:r>
    </w:p>
    <w:p w14:paraId="6087EC90" w14:textId="12A51B48" w:rsidR="00E122C6" w:rsidRPr="00B10724" w:rsidRDefault="00262E9A" w:rsidP="00E96A7B">
      <w:pPr>
        <w:pStyle w:val="Akapitzlist"/>
        <w:numPr>
          <w:ilvl w:val="0"/>
          <w:numId w:val="27"/>
        </w:numPr>
        <w:spacing w:before="240" w:after="240" w:line="240" w:lineRule="auto"/>
        <w:ind w:left="284" w:hanging="284"/>
        <w:contextualSpacing w:val="0"/>
        <w:rPr>
          <w:rFonts w:cstheme="minorHAnsi"/>
          <w:b/>
          <w:bCs/>
          <w:szCs w:val="22"/>
        </w:rPr>
      </w:pPr>
      <w:r w:rsidRPr="00B10724">
        <w:rPr>
          <w:rFonts w:cstheme="minorHAnsi"/>
          <w:b/>
          <w:bCs/>
          <w:szCs w:val="22"/>
        </w:rPr>
        <w:lastRenderedPageBreak/>
        <w:t xml:space="preserve">wskaźniki </w:t>
      </w:r>
      <w:r w:rsidR="00BC169B" w:rsidRPr="00B10724">
        <w:rPr>
          <w:rFonts w:cstheme="minorHAnsi"/>
          <w:b/>
          <w:bCs/>
          <w:szCs w:val="22"/>
        </w:rPr>
        <w:t>rezultatu</w:t>
      </w:r>
    </w:p>
    <w:tbl>
      <w:tblPr>
        <w:tblStyle w:val="Tabela-Siatka"/>
        <w:tblW w:w="13750" w:type="dxa"/>
        <w:tblInd w:w="-5" w:type="dxa"/>
        <w:tblLook w:val="04A0" w:firstRow="1" w:lastRow="0" w:firstColumn="1" w:lastColumn="0" w:noHBand="0" w:noVBand="1"/>
      </w:tblPr>
      <w:tblGrid>
        <w:gridCol w:w="487"/>
        <w:gridCol w:w="1272"/>
        <w:gridCol w:w="2684"/>
        <w:gridCol w:w="9307"/>
      </w:tblGrid>
      <w:tr w:rsidR="00954891" w:rsidRPr="003B743E" w14:paraId="5F4AECD6" w14:textId="77777777" w:rsidTr="00045A39">
        <w:trPr>
          <w:tblHeader/>
        </w:trPr>
        <w:tc>
          <w:tcPr>
            <w:tcW w:w="487" w:type="dxa"/>
            <w:vAlign w:val="center"/>
          </w:tcPr>
          <w:p w14:paraId="2AFF7B9C" w14:textId="77777777" w:rsidR="00954891" w:rsidRPr="000C3CD9" w:rsidRDefault="00954891" w:rsidP="00E96A7B">
            <w:pPr>
              <w:pStyle w:val="Akapitzlist"/>
              <w:spacing w:before="0" w:after="120"/>
              <w:ind w:left="0"/>
              <w:contextualSpacing w:val="0"/>
              <w:rPr>
                <w:rFonts w:cstheme="minorHAnsi"/>
                <w:b/>
                <w:szCs w:val="22"/>
              </w:rPr>
            </w:pPr>
            <w:r w:rsidRPr="000C3CD9">
              <w:rPr>
                <w:rFonts w:cstheme="minorHAnsi"/>
                <w:b/>
                <w:szCs w:val="22"/>
              </w:rPr>
              <w:t>Lp.</w:t>
            </w:r>
          </w:p>
        </w:tc>
        <w:tc>
          <w:tcPr>
            <w:tcW w:w="1272" w:type="dxa"/>
            <w:vAlign w:val="center"/>
          </w:tcPr>
          <w:p w14:paraId="2635DB5A" w14:textId="77777777" w:rsidR="00954891" w:rsidRPr="0076364F" w:rsidRDefault="00954891" w:rsidP="00E96A7B">
            <w:pPr>
              <w:pStyle w:val="Akapitzlist"/>
              <w:spacing w:before="0" w:after="120"/>
              <w:ind w:left="0"/>
              <w:contextualSpacing w:val="0"/>
              <w:rPr>
                <w:rFonts w:cstheme="minorHAnsi"/>
                <w:b/>
                <w:szCs w:val="22"/>
              </w:rPr>
            </w:pPr>
            <w:r w:rsidRPr="0076364F">
              <w:rPr>
                <w:rFonts w:cstheme="minorHAnsi"/>
                <w:b/>
                <w:szCs w:val="22"/>
              </w:rPr>
              <w:t>Kod wskaźnika</w:t>
            </w:r>
          </w:p>
        </w:tc>
        <w:tc>
          <w:tcPr>
            <w:tcW w:w="2684" w:type="dxa"/>
            <w:vAlign w:val="center"/>
          </w:tcPr>
          <w:p w14:paraId="7B2CD0B3" w14:textId="77777777" w:rsidR="00954891" w:rsidRPr="0076364F" w:rsidRDefault="00954891" w:rsidP="00E96A7B">
            <w:pPr>
              <w:pStyle w:val="Akapitzlist"/>
              <w:spacing w:before="0" w:after="120"/>
              <w:ind w:left="0"/>
              <w:contextualSpacing w:val="0"/>
              <w:rPr>
                <w:rFonts w:cstheme="minorHAnsi"/>
                <w:b/>
                <w:szCs w:val="22"/>
              </w:rPr>
            </w:pPr>
            <w:r w:rsidRPr="0076364F">
              <w:rPr>
                <w:rFonts w:cstheme="minorHAnsi"/>
                <w:b/>
                <w:szCs w:val="22"/>
              </w:rPr>
              <w:t xml:space="preserve">Nazwa wskaźnika </w:t>
            </w:r>
            <w:r w:rsidRPr="0076364F">
              <w:rPr>
                <w:rFonts w:cstheme="minorHAnsi"/>
                <w:b/>
                <w:szCs w:val="22"/>
              </w:rPr>
              <w:br/>
              <w:t>(jednostka miary)</w:t>
            </w:r>
          </w:p>
        </w:tc>
        <w:tc>
          <w:tcPr>
            <w:tcW w:w="9307" w:type="dxa"/>
            <w:vAlign w:val="center"/>
          </w:tcPr>
          <w:p w14:paraId="014F6E66" w14:textId="77777777" w:rsidR="00954891" w:rsidRPr="0076364F" w:rsidRDefault="00954891" w:rsidP="00E96A7B">
            <w:pPr>
              <w:pStyle w:val="Akapitzlist"/>
              <w:spacing w:before="0" w:after="120"/>
              <w:ind w:left="0"/>
              <w:contextualSpacing w:val="0"/>
              <w:rPr>
                <w:rFonts w:cstheme="minorHAnsi"/>
                <w:b/>
                <w:szCs w:val="22"/>
              </w:rPr>
            </w:pPr>
            <w:r w:rsidRPr="0076364F">
              <w:rPr>
                <w:rFonts w:cstheme="minorHAnsi"/>
                <w:b/>
                <w:szCs w:val="22"/>
              </w:rPr>
              <w:t>Definicja operacyjna/kontekst prawny</w:t>
            </w:r>
          </w:p>
        </w:tc>
      </w:tr>
      <w:tr w:rsidR="00045A39" w:rsidRPr="003B743E" w14:paraId="4ACCB9B5" w14:textId="77777777" w:rsidTr="00045A39">
        <w:tc>
          <w:tcPr>
            <w:tcW w:w="487" w:type="dxa"/>
          </w:tcPr>
          <w:p w14:paraId="739EF8F3" w14:textId="11A2EF1B" w:rsidR="00045A39" w:rsidRPr="00DA6AE6" w:rsidRDefault="00045A39" w:rsidP="00045A39">
            <w:pPr>
              <w:pStyle w:val="Akapitzlist"/>
              <w:spacing w:before="0" w:after="120"/>
              <w:ind w:left="0"/>
              <w:contextualSpacing w:val="0"/>
              <w:rPr>
                <w:rFonts w:cstheme="minorHAnsi"/>
                <w:szCs w:val="22"/>
              </w:rPr>
            </w:pPr>
            <w:r w:rsidRPr="00DA6AE6">
              <w:rPr>
                <w:rFonts w:cstheme="minorHAnsi"/>
                <w:szCs w:val="22"/>
              </w:rPr>
              <w:t>1</w:t>
            </w:r>
          </w:p>
        </w:tc>
        <w:tc>
          <w:tcPr>
            <w:tcW w:w="1272" w:type="dxa"/>
          </w:tcPr>
          <w:p w14:paraId="34C18853" w14:textId="136202C5" w:rsidR="00045A39" w:rsidRPr="003B743E" w:rsidRDefault="00045A39" w:rsidP="00045A39">
            <w:pPr>
              <w:pStyle w:val="Akapitzlist"/>
              <w:spacing w:before="0" w:after="120"/>
              <w:ind w:left="0"/>
              <w:contextualSpacing w:val="0"/>
              <w:rPr>
                <w:rFonts w:cstheme="minorHAnsi"/>
                <w:szCs w:val="22"/>
              </w:rPr>
            </w:pPr>
            <w:r w:rsidRPr="0076364F">
              <w:rPr>
                <w:rFonts w:eastAsia="Arial" w:cstheme="minorHAnsi"/>
                <w:szCs w:val="22"/>
              </w:rPr>
              <w:t>EECR03</w:t>
            </w:r>
          </w:p>
        </w:tc>
        <w:tc>
          <w:tcPr>
            <w:tcW w:w="2684" w:type="dxa"/>
          </w:tcPr>
          <w:p w14:paraId="61EF8C8B" w14:textId="77777777" w:rsidR="00045A39" w:rsidRPr="0076364F" w:rsidRDefault="00045A39" w:rsidP="00045A39">
            <w:pPr>
              <w:pStyle w:val="Akapitzlist"/>
              <w:spacing w:before="0"/>
              <w:ind w:left="0"/>
              <w:contextualSpacing w:val="0"/>
              <w:rPr>
                <w:rFonts w:cstheme="minorHAnsi"/>
                <w:szCs w:val="22"/>
              </w:rPr>
            </w:pPr>
            <w:r w:rsidRPr="0076364F">
              <w:rPr>
                <w:rFonts w:cstheme="minorHAnsi"/>
                <w:szCs w:val="22"/>
              </w:rPr>
              <w:t>Liczba osób, które uzyskały kwalifikacje</w:t>
            </w:r>
            <w:r w:rsidR="00AF40B2" w:rsidRPr="0076364F">
              <w:rPr>
                <w:rFonts w:cstheme="minorHAnsi"/>
                <w:szCs w:val="22"/>
              </w:rPr>
              <w:t>*</w:t>
            </w:r>
            <w:r w:rsidRPr="0076364F">
              <w:rPr>
                <w:rFonts w:cstheme="minorHAnsi"/>
                <w:szCs w:val="22"/>
              </w:rPr>
              <w:t xml:space="preserve"> po opuszczeniu programu (osoby)</w:t>
            </w:r>
          </w:p>
          <w:p w14:paraId="2C7D95AE" w14:textId="77777777" w:rsidR="00AF40B2" w:rsidRPr="003B743E" w:rsidRDefault="00AF40B2" w:rsidP="00045A39">
            <w:pPr>
              <w:pStyle w:val="Akapitzlist"/>
              <w:spacing w:before="0"/>
              <w:ind w:left="0"/>
              <w:contextualSpacing w:val="0"/>
              <w:rPr>
                <w:rFonts w:cstheme="minorHAnsi"/>
                <w:szCs w:val="22"/>
              </w:rPr>
            </w:pPr>
          </w:p>
          <w:p w14:paraId="0C6CA365" w14:textId="77777777" w:rsidR="00AF40B2" w:rsidRPr="003B743E" w:rsidRDefault="00AF40B2" w:rsidP="00045A39">
            <w:pPr>
              <w:pStyle w:val="Akapitzlist"/>
              <w:spacing w:before="0"/>
              <w:ind w:left="0"/>
              <w:contextualSpacing w:val="0"/>
              <w:rPr>
                <w:rFonts w:cstheme="minorHAnsi"/>
                <w:szCs w:val="22"/>
              </w:rPr>
            </w:pPr>
          </w:p>
          <w:p w14:paraId="7F97B057" w14:textId="41612773" w:rsidR="00AF40B2" w:rsidRPr="003B743E" w:rsidRDefault="00AF40B2" w:rsidP="00045A39">
            <w:pPr>
              <w:pStyle w:val="Akapitzlist"/>
              <w:spacing w:before="0"/>
              <w:ind w:left="0"/>
              <w:contextualSpacing w:val="0"/>
              <w:rPr>
                <w:rFonts w:cstheme="minorHAnsi"/>
                <w:szCs w:val="22"/>
              </w:rPr>
            </w:pPr>
            <w:r w:rsidRPr="003B743E">
              <w:rPr>
                <w:rFonts w:cstheme="minorHAnsi"/>
                <w:szCs w:val="22"/>
              </w:rPr>
              <w:t>* w niniejszym naborze rozumiane wyłącznie jako kompetencje</w:t>
            </w:r>
          </w:p>
        </w:tc>
        <w:tc>
          <w:tcPr>
            <w:tcW w:w="9307" w:type="dxa"/>
          </w:tcPr>
          <w:p w14:paraId="0F9963B5" w14:textId="692F0295" w:rsidR="00F4390F" w:rsidRPr="0076364F" w:rsidRDefault="00F4390F" w:rsidP="00F4390F">
            <w:pPr>
              <w:spacing w:before="120" w:after="120"/>
              <w:jc w:val="both"/>
              <w:rPr>
                <w:rFonts w:eastAsia="Times New Roman" w:cstheme="minorHAnsi"/>
                <w:iCs/>
                <w:szCs w:val="22"/>
                <w:lang w:eastAsia="pl-PL"/>
              </w:rPr>
            </w:pPr>
            <w:r w:rsidRPr="0076364F">
              <w:rPr>
                <w:rFonts w:eastAsia="Times New Roman" w:cstheme="minorHAnsi"/>
                <w:b/>
                <w:iCs/>
                <w:szCs w:val="22"/>
                <w:lang w:eastAsia="pl-PL"/>
              </w:rPr>
              <w:t>W ramach naboru nie ma możliwości uzyskania kwalifikacji</w:t>
            </w:r>
            <w:r w:rsidR="002F6C7A">
              <w:rPr>
                <w:rFonts w:eastAsia="Times New Roman" w:cstheme="minorHAnsi"/>
                <w:b/>
                <w:iCs/>
                <w:szCs w:val="22"/>
                <w:lang w:eastAsia="pl-PL"/>
              </w:rPr>
              <w:t>,</w:t>
            </w:r>
            <w:r w:rsidRPr="0076364F">
              <w:rPr>
                <w:rFonts w:eastAsia="Times New Roman" w:cstheme="minorHAnsi"/>
                <w:iCs/>
                <w:szCs w:val="22"/>
                <w:lang w:eastAsia="pl-PL"/>
              </w:rPr>
              <w:t xml:space="preserve"> rozumianych jako określony zestaw efektów uczenia się w zakresie wiedzy, umiejętności oraz kompetencji społecznych nabytych w drodze edukacji formalnej, edukacji </w:t>
            </w:r>
            <w:proofErr w:type="spellStart"/>
            <w:r w:rsidRPr="0076364F">
              <w:rPr>
                <w:rFonts w:eastAsia="Times New Roman" w:cstheme="minorHAnsi"/>
                <w:iCs/>
                <w:szCs w:val="22"/>
                <w:lang w:eastAsia="pl-PL"/>
              </w:rPr>
              <w:t>pozaformalnej</w:t>
            </w:r>
            <w:proofErr w:type="spellEnd"/>
            <w:r w:rsidRPr="0076364F">
              <w:rPr>
                <w:rFonts w:eastAsia="Times New Roman" w:cstheme="minorHAnsi"/>
                <w:iCs/>
                <w:szCs w:val="22"/>
                <w:lang w:eastAsia="pl-PL"/>
              </w:rPr>
              <w:t xml:space="preserve"> lub poprzez uczenie się nieformalne, zgodnych </w:t>
            </w:r>
            <w:r w:rsidR="002F6C7A">
              <w:rPr>
                <w:rFonts w:eastAsia="Times New Roman" w:cstheme="minorHAnsi"/>
                <w:iCs/>
                <w:szCs w:val="22"/>
                <w:lang w:eastAsia="pl-PL"/>
              </w:rPr>
              <w:br/>
            </w:r>
            <w:r w:rsidRPr="0076364F">
              <w:rPr>
                <w:rFonts w:eastAsia="Times New Roman" w:cstheme="minorHAnsi"/>
                <w:iCs/>
                <w:szCs w:val="22"/>
                <w:lang w:eastAsia="pl-PL"/>
              </w:rPr>
              <w:t>z ustalonymi dla danej kwalifikacji wymaganiami, których osiągnięcie zostało sprawdzone w walidacji oraz formalnie potwierdzone przez instytucję uprawnioną do certyfikowania.</w:t>
            </w:r>
          </w:p>
          <w:p w14:paraId="1FFF87B2" w14:textId="03B8DDA3" w:rsidR="00F4390F" w:rsidRPr="0076364F" w:rsidRDefault="00F4390F" w:rsidP="00F4390F">
            <w:pPr>
              <w:spacing w:before="120" w:after="120"/>
              <w:jc w:val="both"/>
              <w:rPr>
                <w:rFonts w:eastAsia="Times New Roman" w:cstheme="minorHAnsi"/>
                <w:b/>
                <w:i/>
                <w:iCs/>
                <w:szCs w:val="22"/>
                <w:lang w:eastAsia="pl-PL"/>
              </w:rPr>
            </w:pPr>
          </w:p>
          <w:p w14:paraId="6F401DED" w14:textId="1579D9C1" w:rsidR="00045A39" w:rsidRPr="0076364F" w:rsidRDefault="00F4390F" w:rsidP="0076364F">
            <w:pPr>
              <w:spacing w:before="0" w:after="120"/>
              <w:jc w:val="both"/>
              <w:rPr>
                <w:rFonts w:cstheme="minorHAnsi"/>
                <w:szCs w:val="22"/>
              </w:rPr>
            </w:pPr>
            <w:r w:rsidRPr="0076364F">
              <w:rPr>
                <w:rFonts w:eastAsia="Times New Roman" w:cstheme="minorHAnsi"/>
                <w:szCs w:val="22"/>
                <w:lang w:eastAsia="pl-PL"/>
              </w:rPr>
              <w:t xml:space="preserve">Do wskaźnika wlicza się osoby, które otrzymały wsparcie EFS+ i uzyskały </w:t>
            </w:r>
            <w:r w:rsidRPr="0076364F">
              <w:rPr>
                <w:rFonts w:eastAsia="Times New Roman" w:cstheme="minorHAnsi"/>
                <w:b/>
                <w:szCs w:val="22"/>
                <w:lang w:eastAsia="pl-PL"/>
              </w:rPr>
              <w:t xml:space="preserve">kompetencje </w:t>
            </w:r>
            <w:r w:rsidRPr="0076364F">
              <w:rPr>
                <w:rFonts w:eastAsia="Times New Roman" w:cstheme="minorHAnsi"/>
                <w:szCs w:val="22"/>
                <w:lang w:eastAsia="pl-PL"/>
              </w:rPr>
              <w:t>po opuszczeniu projektu</w:t>
            </w:r>
            <w:r w:rsidRPr="0076364F">
              <w:rPr>
                <w:rFonts w:cstheme="minorHAnsi"/>
                <w:szCs w:val="22"/>
              </w:rPr>
              <w:t xml:space="preserve"> </w:t>
            </w:r>
            <w:r w:rsidR="00045A39" w:rsidRPr="0076364F">
              <w:rPr>
                <w:rFonts w:cstheme="minorHAnsi"/>
                <w:szCs w:val="22"/>
              </w:rPr>
              <w:t xml:space="preserve">tj. wyodrębnione zestawy efektów uczenia się / kształcenia, które zostały sprawdzone </w:t>
            </w:r>
            <w:r w:rsidR="002F6C7A">
              <w:rPr>
                <w:rFonts w:cstheme="minorHAnsi"/>
                <w:szCs w:val="22"/>
              </w:rPr>
              <w:br/>
            </w:r>
            <w:r w:rsidR="00045A39" w:rsidRPr="0076364F">
              <w:rPr>
                <w:rFonts w:cstheme="minorHAnsi"/>
                <w:szCs w:val="22"/>
              </w:rPr>
              <w:t xml:space="preserve">w procesie walidacji w sposób zgodny z wymaganiami ustalonymi dla danej kompetencji, odnoszącymi się w szczególności do składających się na nią efektów uczenia się. </w:t>
            </w:r>
          </w:p>
          <w:p w14:paraId="09C90330" w14:textId="77777777" w:rsidR="00045A39" w:rsidRPr="0076364F" w:rsidRDefault="00045A39" w:rsidP="00045A39">
            <w:pPr>
              <w:spacing w:before="120" w:after="120"/>
              <w:jc w:val="both"/>
              <w:rPr>
                <w:rFonts w:cstheme="minorHAnsi"/>
                <w:szCs w:val="22"/>
              </w:rPr>
            </w:pPr>
            <w:r w:rsidRPr="0076364F">
              <w:rPr>
                <w:rFonts w:cstheme="minorHAnsi"/>
                <w:szCs w:val="22"/>
              </w:rPr>
              <w:t xml:space="preserve">Fakt nabycia kompetencji jest weryfikowany w ramach następujących etapów: </w:t>
            </w:r>
          </w:p>
          <w:p w14:paraId="7F8C061A" w14:textId="77777777" w:rsidR="00045A39" w:rsidRPr="0076364F" w:rsidRDefault="00045A39" w:rsidP="00045A39">
            <w:pPr>
              <w:pStyle w:val="Akapitzlist"/>
              <w:numPr>
                <w:ilvl w:val="0"/>
                <w:numId w:val="52"/>
              </w:numPr>
              <w:spacing w:before="120" w:after="120"/>
              <w:jc w:val="both"/>
              <w:rPr>
                <w:rFonts w:cstheme="minorHAnsi"/>
                <w:szCs w:val="22"/>
              </w:rPr>
            </w:pPr>
            <w:r w:rsidRPr="0076364F">
              <w:rPr>
                <w:rFonts w:cstheme="minorHAnsi"/>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39D30018" w14:textId="1CBBB15B" w:rsidR="00045A39" w:rsidRPr="0076364F" w:rsidRDefault="00045A39" w:rsidP="00045A39">
            <w:pPr>
              <w:pStyle w:val="Akapitzlist"/>
              <w:numPr>
                <w:ilvl w:val="0"/>
                <w:numId w:val="52"/>
              </w:numPr>
              <w:spacing w:before="120" w:after="120"/>
              <w:jc w:val="both"/>
              <w:rPr>
                <w:rFonts w:cstheme="minorHAnsi"/>
                <w:szCs w:val="22"/>
              </w:rPr>
            </w:pPr>
            <w:r w:rsidRPr="0076364F">
              <w:rPr>
                <w:rFonts w:cstheme="minorHAnsi"/>
                <w:szCs w:val="22"/>
              </w:rPr>
              <w:t xml:space="preserve">ETAP II – Wzorzec – określony przed rozpoczęciem form wsparcia i zrealizowany </w:t>
            </w:r>
            <w:r w:rsidR="00E56FCD">
              <w:rPr>
                <w:rFonts w:cstheme="minorHAnsi"/>
                <w:szCs w:val="22"/>
              </w:rPr>
              <w:br/>
            </w:r>
            <w:r w:rsidRPr="0076364F">
              <w:rPr>
                <w:rFonts w:cstheme="minorHAnsi"/>
                <w:szCs w:val="22"/>
              </w:rPr>
              <w:t xml:space="preserve">w projekcie/usłudze standard wymagań, tj. efektów uczenia się, które osiągną uczestnicy </w:t>
            </w:r>
            <w:r w:rsidR="00E04974">
              <w:rPr>
                <w:rFonts w:cstheme="minorHAnsi"/>
                <w:szCs w:val="22"/>
              </w:rPr>
              <w:br/>
            </w:r>
            <w:r w:rsidRPr="0076364F">
              <w:rPr>
                <w:rFonts w:cstheme="minorHAnsi"/>
                <w:szCs w:val="22"/>
              </w:rPr>
              <w:t>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6EB75AE1" w14:textId="77777777" w:rsidR="00045A39" w:rsidRPr="0076364F" w:rsidRDefault="00045A39" w:rsidP="00045A39">
            <w:pPr>
              <w:pStyle w:val="Akapitzlist"/>
              <w:numPr>
                <w:ilvl w:val="0"/>
                <w:numId w:val="52"/>
              </w:numPr>
              <w:spacing w:before="120" w:after="120"/>
              <w:jc w:val="both"/>
              <w:rPr>
                <w:rFonts w:cstheme="minorHAnsi"/>
                <w:szCs w:val="22"/>
              </w:rPr>
            </w:pPr>
            <w:r w:rsidRPr="0076364F">
              <w:rPr>
                <w:rFonts w:cstheme="minorHAnsi"/>
                <w:szCs w:val="22"/>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0B26527E" w14:textId="77777777" w:rsidR="00045A39" w:rsidRPr="0076364F" w:rsidRDefault="00045A39" w:rsidP="00045A39">
            <w:pPr>
              <w:pStyle w:val="Akapitzlist"/>
              <w:numPr>
                <w:ilvl w:val="0"/>
                <w:numId w:val="52"/>
              </w:numPr>
              <w:spacing w:before="120" w:after="120"/>
              <w:jc w:val="both"/>
              <w:rPr>
                <w:rFonts w:cstheme="minorHAnsi"/>
                <w:szCs w:val="22"/>
              </w:rPr>
            </w:pPr>
            <w:r w:rsidRPr="0076364F">
              <w:rPr>
                <w:rFonts w:cstheme="minorHAnsi"/>
                <w:szCs w:val="22"/>
              </w:rPr>
              <w:t xml:space="preserve">ETAP IV – Porównanie – porównanie uzyskanych wyników etapu III (ocena) z przyjętymi wymaganiami (określonymi na etapie II efektami uczenia się) po zakończeniu wsparcia </w:t>
            </w:r>
            <w:r w:rsidRPr="0076364F">
              <w:rPr>
                <w:rFonts w:cstheme="minorHAnsi"/>
                <w:szCs w:val="22"/>
              </w:rPr>
              <w:lastRenderedPageBreak/>
              <w:t xml:space="preserve">udzielanego danej osobie. Nabycie kompetencji potwierdzone jest uzyskaniem dokumentu zawierającego wyszczególnione efekty uczenia się odnoszące się do nabytej kompetencji. </w:t>
            </w:r>
          </w:p>
          <w:p w14:paraId="58375CDA" w14:textId="7EA373D6" w:rsidR="00045A39" w:rsidRPr="0076364F" w:rsidRDefault="00045A39" w:rsidP="00045A39">
            <w:pPr>
              <w:spacing w:before="120" w:after="120"/>
              <w:jc w:val="both"/>
              <w:rPr>
                <w:rFonts w:eastAsia="Times New Roman" w:cstheme="minorHAnsi"/>
                <w:szCs w:val="22"/>
                <w:lang w:eastAsia="pl-PL"/>
              </w:rPr>
            </w:pPr>
            <w:r w:rsidRPr="0076364F">
              <w:rPr>
                <w:rFonts w:eastAsia="Times New Roman" w:cstheme="minorHAnsi"/>
                <w:szCs w:val="22"/>
                <w:lang w:eastAsia="pl-PL"/>
              </w:rPr>
              <w:t xml:space="preserve">Przez efekty uczenia się należy rozumieć wiedzę, umiejętności oraz kompetencje społeczne nabyte </w:t>
            </w:r>
            <w:r w:rsidR="00E04974">
              <w:rPr>
                <w:rFonts w:eastAsia="Times New Roman" w:cstheme="minorHAnsi"/>
                <w:szCs w:val="22"/>
                <w:lang w:eastAsia="pl-PL"/>
              </w:rPr>
              <w:br/>
            </w:r>
            <w:r w:rsidRPr="0076364F">
              <w:rPr>
                <w:rFonts w:eastAsia="Times New Roman" w:cstheme="minorHAnsi"/>
                <w:szCs w:val="22"/>
                <w:lang w:eastAsia="pl-PL"/>
              </w:rPr>
              <w:t xml:space="preserve">w edukacji formalnej, edukacji </w:t>
            </w:r>
            <w:proofErr w:type="spellStart"/>
            <w:r w:rsidRPr="0076364F">
              <w:rPr>
                <w:rFonts w:eastAsia="Times New Roman" w:cstheme="minorHAnsi"/>
                <w:szCs w:val="22"/>
                <w:lang w:eastAsia="pl-PL"/>
              </w:rPr>
              <w:t>pozaformalnej</w:t>
            </w:r>
            <w:proofErr w:type="spellEnd"/>
            <w:r w:rsidRPr="0076364F">
              <w:rPr>
                <w:rFonts w:eastAsia="Times New Roman" w:cstheme="minorHAnsi"/>
                <w:szCs w:val="22"/>
                <w:lang w:eastAsia="pl-PL"/>
              </w:rPr>
              <w:t xml:space="preserve"> lub poprzez uczenie się nieformalne, zgodne </w:t>
            </w:r>
            <w:r w:rsidR="00E04974">
              <w:rPr>
                <w:rFonts w:eastAsia="Times New Roman" w:cstheme="minorHAnsi"/>
                <w:szCs w:val="22"/>
                <w:lang w:eastAsia="pl-PL"/>
              </w:rPr>
              <w:br/>
            </w:r>
            <w:r w:rsidRPr="0076364F">
              <w:rPr>
                <w:rFonts w:eastAsia="Times New Roman" w:cstheme="minorHAnsi"/>
                <w:szCs w:val="22"/>
                <w:lang w:eastAsia="pl-PL"/>
              </w:rPr>
              <w:t xml:space="preserve">z ustalonymi dla danej kompetencji wymaganiami. </w:t>
            </w:r>
          </w:p>
          <w:p w14:paraId="5EF1F00F" w14:textId="5F9FD7D2" w:rsidR="00045A39" w:rsidRPr="0076364F" w:rsidRDefault="00045A39" w:rsidP="00045A39">
            <w:pPr>
              <w:spacing w:before="120" w:after="120"/>
              <w:jc w:val="both"/>
              <w:rPr>
                <w:rFonts w:eastAsia="Times New Roman" w:cstheme="minorHAnsi"/>
                <w:szCs w:val="22"/>
                <w:lang w:eastAsia="pl-PL"/>
              </w:rPr>
            </w:pPr>
            <w:r w:rsidRPr="0076364F">
              <w:rPr>
                <w:rFonts w:cstheme="minorHAnsi"/>
                <w:szCs w:val="22"/>
              </w:rPr>
              <w:t xml:space="preserve">Wykazywać należy wyłącznie kompetencje osiągnięte w wyniku </w:t>
            </w:r>
            <w:r w:rsidRPr="0076364F">
              <w:rPr>
                <w:rFonts w:eastAsia="Times New Roman" w:cstheme="minorHAnsi"/>
                <w:szCs w:val="22"/>
                <w:lang w:eastAsia="pl-PL"/>
              </w:rPr>
              <w:t xml:space="preserve">udziału w projekcie EFS+. Powinny one być wykazywane tylko raz dla uczestnika/projektu. </w:t>
            </w:r>
          </w:p>
          <w:p w14:paraId="029359A0" w14:textId="12276F87" w:rsidR="00045A39" w:rsidRPr="0076364F" w:rsidRDefault="00045A39" w:rsidP="00045A39">
            <w:pPr>
              <w:spacing w:before="120" w:after="120"/>
              <w:jc w:val="both"/>
              <w:rPr>
                <w:rFonts w:cstheme="minorHAnsi"/>
                <w:szCs w:val="22"/>
              </w:rPr>
            </w:pPr>
            <w:r w:rsidRPr="0076364F">
              <w:rPr>
                <w:rFonts w:cstheme="minorHAnsi"/>
                <w:szCs w:val="22"/>
              </w:rPr>
              <w:t>Do wskaźnika należy wliczać jedynie osoby, które uzyskały kompetencje w trakcie lub bezpośrednio po zakończeniu udziału w projekcie, tj. w ciągu czterech tygodni, które minęły od momentu zakończenia udziału w projekcie.</w:t>
            </w:r>
          </w:p>
          <w:p w14:paraId="69E2115C" w14:textId="72FC3DBF" w:rsidR="00045A39" w:rsidRPr="0076364F" w:rsidRDefault="00045A39" w:rsidP="00045A39">
            <w:pPr>
              <w:spacing w:before="120" w:after="120"/>
              <w:jc w:val="both"/>
              <w:rPr>
                <w:rFonts w:cstheme="minorHAnsi"/>
                <w:szCs w:val="22"/>
              </w:rPr>
            </w:pPr>
            <w:r w:rsidRPr="0076364F">
              <w:rPr>
                <w:rFonts w:cstheme="minorHAnsi"/>
                <w:szCs w:val="22"/>
              </w:rPr>
              <w:t xml:space="preserve">Jeżeli okres oczekiwania na wyniki walidacji jest dłuższy niż cztery tygodnie od zakończenia udziału </w:t>
            </w:r>
            <w:r w:rsidR="007F2C90">
              <w:rPr>
                <w:rFonts w:cstheme="minorHAnsi"/>
                <w:szCs w:val="22"/>
              </w:rPr>
              <w:br/>
            </w:r>
            <w:r w:rsidRPr="0076364F">
              <w:rPr>
                <w:rFonts w:cstheme="minorHAnsi"/>
                <w:szCs w:val="22"/>
              </w:rPr>
              <w:t xml:space="preserve">w projekcie, </w:t>
            </w:r>
            <w:r w:rsidRPr="00202905">
              <w:rPr>
                <w:rFonts w:cstheme="minorHAnsi"/>
                <w:szCs w:val="22"/>
              </w:rPr>
              <w:t>ale</w:t>
            </w:r>
            <w:r w:rsidR="00B10724" w:rsidRPr="00202905">
              <w:rPr>
                <w:rFonts w:cstheme="minorHAnsi"/>
                <w:szCs w:val="22"/>
              </w:rPr>
              <w:t xml:space="preserve"> weryfik</w:t>
            </w:r>
            <w:r w:rsidR="00B10724">
              <w:rPr>
                <w:rFonts w:cstheme="minorHAnsi"/>
                <w:szCs w:val="22"/>
              </w:rPr>
              <w:t>acja nabytych kompetencji</w:t>
            </w:r>
            <w:r w:rsidRPr="0076364F">
              <w:rPr>
                <w:rFonts w:cstheme="minorHAnsi"/>
                <w:szCs w:val="22"/>
              </w:rPr>
              <w:t xml:space="preserve"> odbył</w:t>
            </w:r>
            <w:r w:rsidR="00B10724">
              <w:rPr>
                <w:rFonts w:cstheme="minorHAnsi"/>
                <w:szCs w:val="22"/>
              </w:rPr>
              <w:t>a</w:t>
            </w:r>
            <w:r w:rsidRPr="0076364F">
              <w:rPr>
                <w:rFonts w:cstheme="minorHAnsi"/>
                <w:szCs w:val="22"/>
              </w:rPr>
              <w:t xml:space="preserve"> się w trakcie tych czterech tygodni, wówczas można uwzględnić osoby we wskaźniku (po otrzymaniu wyników). We wskaźniku należy uwzględnić jednak tylko te osoby, które otrzymały wyniki do czasu ostatecznego rozliczenia projektu.</w:t>
            </w:r>
          </w:p>
          <w:p w14:paraId="7954F1CA" w14:textId="70279972" w:rsidR="00045A39" w:rsidRPr="003B743E" w:rsidRDefault="00045A39" w:rsidP="00045A39">
            <w:pPr>
              <w:spacing w:before="0" w:after="120"/>
              <w:rPr>
                <w:rFonts w:cstheme="minorHAnsi"/>
                <w:szCs w:val="22"/>
              </w:rPr>
            </w:pPr>
            <w:r w:rsidRPr="0076364F">
              <w:rPr>
                <w:rFonts w:eastAsia="Times New Roman" w:cstheme="minorHAnsi"/>
                <w:szCs w:val="22"/>
                <w:lang w:eastAsia="pl-PL"/>
              </w:rPr>
              <w:t xml:space="preserve">Dodatkowe informacje na temat monitorowania uzyskiwania kompetencji w ramach projektów współfinansowanych z EFS+ zawarte są w załączniku nr 2 do </w:t>
            </w:r>
            <w:r w:rsidRPr="0076364F">
              <w:rPr>
                <w:rFonts w:eastAsia="Times New Roman" w:cstheme="minorHAnsi"/>
                <w:bCs/>
                <w:szCs w:val="22"/>
                <w:lang w:eastAsia="pl-PL"/>
              </w:rPr>
              <w:t>Wytycznych w zakresie monitorowania postępu rzeczowego realizacji programów operacyjnych na lata 2021-2027.</w:t>
            </w:r>
          </w:p>
        </w:tc>
      </w:tr>
      <w:tr w:rsidR="00045A39" w:rsidRPr="003B743E" w14:paraId="1E4D6E0E" w14:textId="77777777" w:rsidTr="00045A39">
        <w:tc>
          <w:tcPr>
            <w:tcW w:w="487" w:type="dxa"/>
          </w:tcPr>
          <w:p w14:paraId="17DBFEA4" w14:textId="659B24E3" w:rsidR="00045A39" w:rsidRPr="00DA6AE6" w:rsidRDefault="00045A39" w:rsidP="00045A39">
            <w:pPr>
              <w:pStyle w:val="Akapitzlist"/>
              <w:spacing w:before="0" w:after="120"/>
              <w:ind w:left="0"/>
              <w:contextualSpacing w:val="0"/>
              <w:rPr>
                <w:rFonts w:cstheme="minorHAnsi"/>
                <w:szCs w:val="22"/>
              </w:rPr>
            </w:pPr>
            <w:r w:rsidRPr="00DA6AE6">
              <w:rPr>
                <w:rFonts w:cstheme="minorHAnsi"/>
                <w:szCs w:val="22"/>
              </w:rPr>
              <w:lastRenderedPageBreak/>
              <w:t>2</w:t>
            </w:r>
          </w:p>
        </w:tc>
        <w:tc>
          <w:tcPr>
            <w:tcW w:w="1272" w:type="dxa"/>
          </w:tcPr>
          <w:p w14:paraId="6DC4AB19" w14:textId="49A33184" w:rsidR="00045A39" w:rsidRPr="003B743E" w:rsidRDefault="00045A39" w:rsidP="00045A39">
            <w:pPr>
              <w:pStyle w:val="Akapitzlist"/>
              <w:spacing w:before="0" w:after="120"/>
              <w:ind w:left="0"/>
              <w:contextualSpacing w:val="0"/>
              <w:rPr>
                <w:rFonts w:cstheme="minorHAnsi"/>
                <w:color w:val="000000"/>
                <w:szCs w:val="22"/>
              </w:rPr>
            </w:pPr>
            <w:r w:rsidRPr="0076364F">
              <w:rPr>
                <w:rFonts w:cstheme="minorHAnsi"/>
                <w:szCs w:val="22"/>
              </w:rPr>
              <w:t>PLGCR01</w:t>
            </w:r>
          </w:p>
        </w:tc>
        <w:tc>
          <w:tcPr>
            <w:tcW w:w="2684" w:type="dxa"/>
          </w:tcPr>
          <w:p w14:paraId="5228E5C5" w14:textId="77777777" w:rsidR="00045A39" w:rsidRPr="0076364F" w:rsidRDefault="00045A39" w:rsidP="00045A39">
            <w:pPr>
              <w:spacing w:before="0"/>
              <w:rPr>
                <w:rFonts w:cstheme="minorHAnsi"/>
                <w:szCs w:val="22"/>
              </w:rPr>
            </w:pPr>
            <w:bookmarkStart w:id="35" w:name="_Hlk130384096"/>
            <w:r w:rsidRPr="0076364F">
              <w:rPr>
                <w:rFonts w:cstheme="minorHAnsi"/>
                <w:szCs w:val="22"/>
              </w:rPr>
              <w:t>Liczba osób, które uzyskały kwalifikacje</w:t>
            </w:r>
            <w:r w:rsidR="00AF40B2" w:rsidRPr="0076364F">
              <w:rPr>
                <w:rFonts w:cstheme="minorHAnsi"/>
                <w:szCs w:val="22"/>
              </w:rPr>
              <w:t>*</w:t>
            </w:r>
            <w:r w:rsidRPr="0076364F">
              <w:rPr>
                <w:rFonts w:cstheme="minorHAnsi"/>
                <w:szCs w:val="22"/>
              </w:rPr>
              <w:t xml:space="preserve"> cyfrowe po opuszczeniu programu </w:t>
            </w:r>
            <w:bookmarkEnd w:id="35"/>
            <w:r w:rsidRPr="0076364F">
              <w:rPr>
                <w:rFonts w:cstheme="minorHAnsi"/>
                <w:szCs w:val="22"/>
              </w:rPr>
              <w:t>(osoby)</w:t>
            </w:r>
          </w:p>
          <w:p w14:paraId="51B0B87D" w14:textId="77777777" w:rsidR="00AF40B2" w:rsidRPr="003B743E" w:rsidRDefault="00AF40B2" w:rsidP="00045A39">
            <w:pPr>
              <w:spacing w:before="0"/>
              <w:rPr>
                <w:rFonts w:cstheme="minorHAnsi"/>
                <w:color w:val="000000"/>
                <w:szCs w:val="22"/>
              </w:rPr>
            </w:pPr>
          </w:p>
          <w:p w14:paraId="0865CC03" w14:textId="77777777" w:rsidR="00AF40B2" w:rsidRPr="003B743E" w:rsidRDefault="00AF40B2" w:rsidP="00045A39">
            <w:pPr>
              <w:spacing w:before="0"/>
              <w:rPr>
                <w:rFonts w:cstheme="minorHAnsi"/>
                <w:color w:val="000000"/>
                <w:szCs w:val="22"/>
              </w:rPr>
            </w:pPr>
          </w:p>
          <w:p w14:paraId="2CE4CFE6" w14:textId="1EDAEE3A" w:rsidR="00AF40B2" w:rsidRPr="003B743E" w:rsidRDefault="00AF40B2" w:rsidP="00045A39">
            <w:pPr>
              <w:spacing w:before="0"/>
              <w:rPr>
                <w:rFonts w:cstheme="minorHAnsi"/>
                <w:color w:val="000000"/>
                <w:szCs w:val="22"/>
              </w:rPr>
            </w:pPr>
            <w:r w:rsidRPr="003B743E">
              <w:rPr>
                <w:rFonts w:cstheme="minorHAnsi"/>
                <w:color w:val="000000"/>
                <w:szCs w:val="22"/>
              </w:rPr>
              <w:t>*</w:t>
            </w:r>
            <w:r w:rsidRPr="003B743E">
              <w:rPr>
                <w:rFonts w:cstheme="minorHAnsi"/>
                <w:szCs w:val="22"/>
              </w:rPr>
              <w:t xml:space="preserve"> w niniejszym naborze rozumiane wyłącznie jako kompetencje</w:t>
            </w:r>
          </w:p>
        </w:tc>
        <w:tc>
          <w:tcPr>
            <w:tcW w:w="9307" w:type="dxa"/>
          </w:tcPr>
          <w:p w14:paraId="58D7AFF6" w14:textId="538D68D9" w:rsidR="00045A39" w:rsidRPr="0076364F" w:rsidRDefault="00045A39" w:rsidP="006947F0">
            <w:pPr>
              <w:spacing w:before="0" w:after="120"/>
              <w:rPr>
                <w:rFonts w:cstheme="minorHAnsi"/>
                <w:szCs w:val="22"/>
              </w:rPr>
            </w:pPr>
            <w:r w:rsidRPr="0076364F">
              <w:rPr>
                <w:rFonts w:cstheme="minorHAnsi"/>
                <w:szCs w:val="22"/>
              </w:rPr>
              <w:t xml:space="preserve">Wskaźnik mierzy liczbę osób dorosłych, które w wyniku wsparcia EFS+ nabyły kompetencje </w:t>
            </w:r>
            <w:r w:rsidR="007F2C90">
              <w:rPr>
                <w:rFonts w:cstheme="minorHAnsi"/>
                <w:szCs w:val="22"/>
              </w:rPr>
              <w:br/>
            </w:r>
            <w:r w:rsidRPr="0076364F">
              <w:rPr>
                <w:rFonts w:cstheme="minorHAnsi"/>
                <w:szCs w:val="22"/>
              </w:rPr>
              <w:t>w obszarze cyfrowym.</w:t>
            </w:r>
          </w:p>
          <w:p w14:paraId="6586603C" w14:textId="3D54AD65" w:rsidR="00045A39" w:rsidRPr="0076364F" w:rsidRDefault="00045A39" w:rsidP="00045A39">
            <w:pPr>
              <w:spacing w:before="120" w:after="120"/>
              <w:rPr>
                <w:rFonts w:cstheme="minorHAnsi"/>
                <w:szCs w:val="22"/>
              </w:rPr>
            </w:pPr>
            <w:r w:rsidRPr="0076364F">
              <w:rPr>
                <w:rFonts w:cstheme="minorHAnsi"/>
                <w:szCs w:val="22"/>
              </w:rPr>
              <w:t xml:space="preserve">Definicja i sposób pomiaru jak we wskaźniku wspólnym: </w:t>
            </w:r>
            <w:r w:rsidRPr="0076364F">
              <w:rPr>
                <w:rFonts w:cstheme="minorHAnsi"/>
                <w:i/>
                <w:iCs/>
                <w:szCs w:val="22"/>
              </w:rPr>
              <w:t>liczba osób, które uzyskały kwalifikacje po opuszczeniu programu (osoby)</w:t>
            </w:r>
            <w:r w:rsidRPr="0076364F">
              <w:rPr>
                <w:rFonts w:cstheme="minorHAnsi"/>
                <w:szCs w:val="22"/>
              </w:rPr>
              <w:t xml:space="preserve"> – z zastrzeżeniem, że we wskaźniku należy uwzględniać wyłącznie kompetencje cyfrowe.</w:t>
            </w:r>
          </w:p>
          <w:p w14:paraId="3C768D58" w14:textId="77777777" w:rsidR="00045A39" w:rsidRPr="0076364F" w:rsidRDefault="00045A39" w:rsidP="00045A39">
            <w:pPr>
              <w:spacing w:before="120" w:after="120"/>
              <w:rPr>
                <w:rFonts w:cstheme="minorHAnsi"/>
                <w:szCs w:val="22"/>
              </w:rPr>
            </w:pPr>
            <w:r w:rsidRPr="0076364F">
              <w:rPr>
                <w:rFonts w:cstheme="minorHAnsi"/>
                <w:szCs w:val="22"/>
              </w:rPr>
              <w:t>Wskaźnik jest podrzędny w stosunku do wskaźnika EECR03.</w:t>
            </w:r>
          </w:p>
          <w:p w14:paraId="2B193253" w14:textId="77777777" w:rsidR="00045A39" w:rsidRPr="0076364F" w:rsidRDefault="00045A39" w:rsidP="00045A39">
            <w:pPr>
              <w:spacing w:before="120" w:after="120"/>
              <w:rPr>
                <w:rFonts w:cstheme="minorHAnsi"/>
                <w:szCs w:val="22"/>
              </w:rPr>
            </w:pPr>
            <w:r w:rsidRPr="0076364F">
              <w:rPr>
                <w:rFonts w:cstheme="minorHAnsi"/>
                <w:szCs w:val="22"/>
              </w:rPr>
              <w:t xml:space="preserve">Kompetencje/umiejętności cyfrowe to harmonijna kompozycja wiedzy, umiejętności i postaw umożliwiających życie, uczenie się i pracę w społeczeństwie cyfrowym, tj. społeczeństwie </w:t>
            </w:r>
            <w:r w:rsidRPr="0076364F">
              <w:rPr>
                <w:rFonts w:cstheme="minorHAnsi"/>
                <w:szCs w:val="22"/>
              </w:rPr>
              <w:lastRenderedPageBreak/>
              <w:t>wykorzystującym w życiu codziennym i pracy technologie cyfrowe. Kompetencje cyfrowe określono w Europejskiej Ramie Kompetencji Cyfrowych dla Obywateli (</w:t>
            </w:r>
            <w:proofErr w:type="spellStart"/>
            <w:r w:rsidRPr="0076364F">
              <w:rPr>
                <w:rFonts w:cstheme="minorHAnsi"/>
                <w:szCs w:val="22"/>
              </w:rPr>
              <w:t>DigComp</w:t>
            </w:r>
            <w:proofErr w:type="spellEnd"/>
            <w:r w:rsidRPr="0076364F">
              <w:rPr>
                <w:rFonts w:cstheme="minorHAnsi"/>
                <w:szCs w:val="22"/>
              </w:rPr>
              <w:t>).</w:t>
            </w:r>
            <w:r w:rsidRPr="0076364F">
              <w:rPr>
                <w:rStyle w:val="Odwoanieprzypisudolnego"/>
                <w:rFonts w:cstheme="minorHAnsi"/>
                <w:szCs w:val="22"/>
              </w:rPr>
              <w:footnoteReference w:id="5"/>
            </w:r>
          </w:p>
          <w:p w14:paraId="00AC6D54" w14:textId="58676568" w:rsidR="00045A39" w:rsidRPr="0076364F" w:rsidRDefault="00045A39" w:rsidP="00045A39">
            <w:pPr>
              <w:spacing w:before="120" w:after="120"/>
              <w:rPr>
                <w:rFonts w:cstheme="minorHAnsi"/>
                <w:szCs w:val="22"/>
              </w:rPr>
            </w:pPr>
            <w:r w:rsidRPr="0076364F">
              <w:rPr>
                <w:rFonts w:cstheme="minorHAnsi"/>
                <w:szCs w:val="22"/>
              </w:rPr>
              <w:t>We wskaźniku należy monitorować osoby, które w wyniku wsparcia EFS+ (np. udziału w szkoleniu) podniosły kompetencje w obszarze cyfrowym tj.:</w:t>
            </w:r>
          </w:p>
          <w:p w14:paraId="28938BE0" w14:textId="77777777" w:rsidR="006947F0" w:rsidRPr="0076364F" w:rsidRDefault="00045A39" w:rsidP="006947F0">
            <w:pPr>
              <w:pStyle w:val="Akapitzlist"/>
              <w:numPr>
                <w:ilvl w:val="0"/>
                <w:numId w:val="50"/>
              </w:numPr>
              <w:spacing w:before="120" w:after="120"/>
              <w:contextualSpacing w:val="0"/>
              <w:rPr>
                <w:rFonts w:cstheme="minorHAnsi"/>
                <w:szCs w:val="22"/>
              </w:rPr>
            </w:pPr>
            <w:r w:rsidRPr="0076364F">
              <w:rPr>
                <w:rFonts w:cstheme="minorHAnsi"/>
                <w:szCs w:val="22"/>
              </w:rPr>
              <w:t xml:space="preserve">nabyły jedną lub więcej kompetencji cyfrowych, określonych w Ramie </w:t>
            </w:r>
            <w:proofErr w:type="spellStart"/>
            <w:r w:rsidRPr="0076364F">
              <w:rPr>
                <w:rFonts w:cstheme="minorHAnsi"/>
                <w:szCs w:val="22"/>
              </w:rPr>
              <w:t>DigComp</w:t>
            </w:r>
            <w:proofErr w:type="spellEnd"/>
            <w:r w:rsidRPr="0076364F">
              <w:rPr>
                <w:rFonts w:cstheme="minorHAnsi"/>
                <w:szCs w:val="22"/>
              </w:rPr>
              <w:t xml:space="preserve"> (potwierdzone co najmniej w procesie walidacji) lub</w:t>
            </w:r>
          </w:p>
          <w:p w14:paraId="61088118" w14:textId="3801652F" w:rsidR="00045A39" w:rsidRPr="0076364F" w:rsidRDefault="00045A39" w:rsidP="006947F0">
            <w:pPr>
              <w:pStyle w:val="Akapitzlist"/>
              <w:numPr>
                <w:ilvl w:val="0"/>
                <w:numId w:val="50"/>
              </w:numPr>
              <w:spacing w:before="120" w:after="120"/>
              <w:contextualSpacing w:val="0"/>
              <w:rPr>
                <w:rFonts w:cstheme="minorHAnsi"/>
                <w:szCs w:val="22"/>
              </w:rPr>
            </w:pPr>
            <w:r w:rsidRPr="0076364F">
              <w:rPr>
                <w:rFonts w:cstheme="minorHAnsi"/>
                <w:szCs w:val="22"/>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045A39" w:rsidRPr="003B743E" w14:paraId="73A982FF" w14:textId="77777777" w:rsidTr="00045A39">
        <w:tc>
          <w:tcPr>
            <w:tcW w:w="487" w:type="dxa"/>
          </w:tcPr>
          <w:p w14:paraId="5D91E422" w14:textId="49136EBE" w:rsidR="00045A39" w:rsidRPr="00DA6AE6" w:rsidRDefault="00045A39" w:rsidP="00045A39">
            <w:pPr>
              <w:pStyle w:val="Akapitzlist"/>
              <w:spacing w:before="0" w:after="120"/>
              <w:ind w:left="0"/>
              <w:contextualSpacing w:val="0"/>
              <w:rPr>
                <w:rFonts w:cstheme="minorHAnsi"/>
                <w:szCs w:val="22"/>
              </w:rPr>
            </w:pPr>
            <w:r w:rsidRPr="00DA6AE6">
              <w:rPr>
                <w:rFonts w:cstheme="minorHAnsi"/>
                <w:szCs w:val="22"/>
              </w:rPr>
              <w:lastRenderedPageBreak/>
              <w:t>3</w:t>
            </w:r>
          </w:p>
        </w:tc>
        <w:tc>
          <w:tcPr>
            <w:tcW w:w="1272" w:type="dxa"/>
          </w:tcPr>
          <w:p w14:paraId="40E9D22E" w14:textId="603BFBD2" w:rsidR="00045A39" w:rsidRPr="0076364F" w:rsidRDefault="00045A39" w:rsidP="00045A39">
            <w:pPr>
              <w:pStyle w:val="Akapitzlist"/>
              <w:spacing w:before="0" w:after="120"/>
              <w:ind w:left="0"/>
              <w:contextualSpacing w:val="0"/>
              <w:rPr>
                <w:rFonts w:cstheme="minorHAnsi"/>
                <w:szCs w:val="22"/>
              </w:rPr>
            </w:pPr>
            <w:r w:rsidRPr="0076364F">
              <w:rPr>
                <w:rFonts w:cstheme="minorHAnsi"/>
                <w:szCs w:val="22"/>
              </w:rPr>
              <w:t>PLDGCR04</w:t>
            </w:r>
          </w:p>
        </w:tc>
        <w:tc>
          <w:tcPr>
            <w:tcW w:w="2684" w:type="dxa"/>
          </w:tcPr>
          <w:p w14:paraId="308D0D98" w14:textId="77777777" w:rsidR="00045A39" w:rsidRPr="0076364F" w:rsidRDefault="00045A39" w:rsidP="006947F0">
            <w:pPr>
              <w:spacing w:before="0" w:after="120"/>
              <w:rPr>
                <w:rFonts w:cstheme="minorHAnsi"/>
                <w:szCs w:val="22"/>
              </w:rPr>
            </w:pPr>
            <w:r w:rsidRPr="0076364F">
              <w:rPr>
                <w:rFonts w:cstheme="minorHAnsi"/>
                <w:szCs w:val="22"/>
              </w:rPr>
              <w:t>Liczba osób, które uzyskały zielone kwalifikacje</w:t>
            </w:r>
            <w:r w:rsidR="00AF40B2" w:rsidRPr="0076364F">
              <w:rPr>
                <w:rFonts w:cstheme="minorHAnsi"/>
                <w:szCs w:val="22"/>
              </w:rPr>
              <w:t>*</w:t>
            </w:r>
            <w:r w:rsidRPr="0076364F">
              <w:rPr>
                <w:rFonts w:cstheme="minorHAnsi"/>
                <w:szCs w:val="22"/>
              </w:rPr>
              <w:t xml:space="preserve"> po opuszczeniu programu (osoby)</w:t>
            </w:r>
          </w:p>
          <w:p w14:paraId="341F500E" w14:textId="77777777" w:rsidR="00AF40B2" w:rsidRPr="0076364F" w:rsidRDefault="00AF40B2" w:rsidP="006947F0">
            <w:pPr>
              <w:spacing w:before="0" w:after="120"/>
              <w:rPr>
                <w:rFonts w:cstheme="minorHAnsi"/>
                <w:szCs w:val="22"/>
              </w:rPr>
            </w:pPr>
          </w:p>
          <w:p w14:paraId="653102C7" w14:textId="76E4BD0B" w:rsidR="00AF40B2" w:rsidRPr="0076364F" w:rsidRDefault="00AF40B2" w:rsidP="006947F0">
            <w:pPr>
              <w:spacing w:before="0" w:after="120"/>
              <w:rPr>
                <w:rFonts w:cstheme="minorHAnsi"/>
                <w:szCs w:val="22"/>
              </w:rPr>
            </w:pPr>
            <w:r w:rsidRPr="003B743E">
              <w:rPr>
                <w:rFonts w:cstheme="minorHAnsi"/>
                <w:szCs w:val="22"/>
              </w:rPr>
              <w:t>* w niniejszym naborze rozumiane wyłącznie jako kompetencje</w:t>
            </w:r>
          </w:p>
        </w:tc>
        <w:tc>
          <w:tcPr>
            <w:tcW w:w="9307" w:type="dxa"/>
          </w:tcPr>
          <w:p w14:paraId="19BD69D0" w14:textId="11AA2F4F" w:rsidR="00045A39" w:rsidRPr="0076364F" w:rsidRDefault="00045A39" w:rsidP="006947F0">
            <w:pPr>
              <w:spacing w:before="0" w:after="120"/>
              <w:rPr>
                <w:rFonts w:cstheme="minorHAnsi"/>
                <w:szCs w:val="22"/>
              </w:rPr>
            </w:pPr>
            <w:r w:rsidRPr="0076364F">
              <w:rPr>
                <w:rFonts w:cstheme="minorHAnsi"/>
                <w:szCs w:val="22"/>
              </w:rPr>
              <w:t>Wskaźnik mierzy liczbę osób, które w wyniku wsparcia EFS+ nabyły zielone kompetencje.</w:t>
            </w:r>
          </w:p>
          <w:p w14:paraId="1291047E" w14:textId="48E5AC16" w:rsidR="00045A39" w:rsidRPr="0076364F" w:rsidRDefault="00045A39" w:rsidP="006947F0">
            <w:pPr>
              <w:spacing w:before="0" w:after="120"/>
              <w:rPr>
                <w:rFonts w:cstheme="minorHAnsi"/>
                <w:szCs w:val="22"/>
              </w:rPr>
            </w:pPr>
            <w:r w:rsidRPr="0076364F">
              <w:rPr>
                <w:rFonts w:cstheme="minorHAnsi"/>
                <w:szCs w:val="22"/>
              </w:rPr>
              <w:t xml:space="preserve">Definicja i sposób pomiaru jak we wskaźniku wspólnym: </w:t>
            </w:r>
            <w:r w:rsidRPr="0076364F">
              <w:rPr>
                <w:rFonts w:cstheme="minorHAnsi"/>
                <w:i/>
                <w:iCs/>
                <w:szCs w:val="22"/>
              </w:rPr>
              <w:t>liczba osób, które uzyskały kwalifikacje po opuszczeniu programu (osoby)</w:t>
            </w:r>
            <w:r w:rsidRPr="0076364F">
              <w:rPr>
                <w:rFonts w:cstheme="minorHAnsi"/>
                <w:szCs w:val="22"/>
              </w:rPr>
              <w:t xml:space="preserve"> – z zastrzeżeniem, że we wskaźniku należy uwzględniać wyłącznie zielone kompetencje.</w:t>
            </w:r>
          </w:p>
          <w:p w14:paraId="60660487" w14:textId="75767E72" w:rsidR="00045A39" w:rsidRPr="0076364F" w:rsidRDefault="00045A39" w:rsidP="006947F0">
            <w:pPr>
              <w:spacing w:before="0"/>
              <w:rPr>
                <w:rFonts w:cstheme="minorHAnsi"/>
                <w:szCs w:val="22"/>
              </w:rPr>
            </w:pPr>
            <w:r w:rsidRPr="0076364F">
              <w:rPr>
                <w:rFonts w:cstheme="minorHAnsi"/>
                <w:szCs w:val="22"/>
              </w:rPr>
              <w:t xml:space="preserve">Uwaga – zielone kompetencje, nabywane w wyniku uczestnictwa w projektach w celu szczegółowym g), powinny być uwzględniane również we wskaźniku </w:t>
            </w:r>
            <w:r w:rsidRPr="0076364F">
              <w:rPr>
                <w:rFonts w:cstheme="minorHAnsi"/>
                <w:i/>
                <w:iCs/>
                <w:szCs w:val="22"/>
              </w:rPr>
              <w:t xml:space="preserve">liczba osób, które uzyskały kwalifikacje po opuszczeniu programu </w:t>
            </w:r>
            <w:r w:rsidRPr="0076364F">
              <w:rPr>
                <w:rFonts w:cstheme="minorHAnsi"/>
                <w:szCs w:val="22"/>
              </w:rPr>
              <w:t>(osoby).</w:t>
            </w:r>
          </w:p>
          <w:p w14:paraId="244484DB" w14:textId="5DDDCDD4" w:rsidR="00045A39" w:rsidRPr="003B743E" w:rsidRDefault="00045A39" w:rsidP="006947F0">
            <w:pPr>
              <w:spacing w:before="0"/>
              <w:rPr>
                <w:rFonts w:eastAsia="Times New Roman" w:cstheme="minorHAnsi"/>
                <w:szCs w:val="22"/>
                <w:lang w:eastAsia="pl-PL"/>
              </w:rPr>
            </w:pPr>
            <w:r w:rsidRPr="0076364F">
              <w:rPr>
                <w:rFonts w:cstheme="minorHAnsi"/>
                <w:szCs w:val="22"/>
              </w:rPr>
              <w:t>Wskaźnik jest podrzędny w stosunku do wskaźnika EECR03.</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bookmarkStart w:id="36" w:name="_Toc164069057"/>
      <w:r w:rsidRPr="000B0EC7">
        <w:lastRenderedPageBreak/>
        <w:t>Z</w:t>
      </w:r>
      <w:r w:rsidR="00D776F2" w:rsidRPr="000B0EC7">
        <w:t xml:space="preserve">ałącznik nr </w:t>
      </w:r>
      <w:bookmarkEnd w:id="33"/>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6"/>
    </w:p>
    <w:p w14:paraId="5DD09474" w14:textId="77777777" w:rsidR="00736FB3" w:rsidRPr="004B59C7" w:rsidRDefault="00736FB3" w:rsidP="00EC2781">
      <w:pPr>
        <w:pStyle w:val="Legenda"/>
        <w:keepNext/>
        <w:numPr>
          <w:ilvl w:val="0"/>
          <w:numId w:val="12"/>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671777">
      <w:pPr>
        <w:pStyle w:val="Legenda"/>
        <w:keepNext/>
        <w:numPr>
          <w:ilvl w:val="1"/>
          <w:numId w:val="33"/>
        </w:numPr>
        <w:ind w:left="709" w:hanging="284"/>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671777">
      <w:pPr>
        <w:pStyle w:val="Legenda"/>
        <w:keepNext/>
        <w:numPr>
          <w:ilvl w:val="1"/>
          <w:numId w:val="33"/>
        </w:numPr>
        <w:ind w:left="709" w:hanging="284"/>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671777">
      <w:pPr>
        <w:pStyle w:val="Legenda"/>
        <w:keepNext/>
        <w:numPr>
          <w:ilvl w:val="1"/>
          <w:numId w:val="33"/>
        </w:numPr>
        <w:ind w:left="709" w:hanging="284"/>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EC2781">
      <w:pPr>
        <w:pStyle w:val="Legenda"/>
        <w:keepNext/>
        <w:numPr>
          <w:ilvl w:val="1"/>
          <w:numId w:val="33"/>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EC2781">
      <w:pPr>
        <w:pStyle w:val="Legenda"/>
        <w:keepNext/>
        <w:numPr>
          <w:ilvl w:val="0"/>
          <w:numId w:val="12"/>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EC2781">
      <w:pPr>
        <w:pStyle w:val="Legenda"/>
        <w:keepNext/>
        <w:numPr>
          <w:ilvl w:val="1"/>
          <w:numId w:val="34"/>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CB52D5">
        <w:trPr>
          <w:trHeight w:val="652"/>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613F56">
        <w:trPr>
          <w:trHeight w:val="832"/>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58A997C5" w:rsidR="00696F71" w:rsidRDefault="00696F71" w:rsidP="00C0118F">
      <w:pPr>
        <w:sectPr w:rsidR="00696F71"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7" w:name="_GoBack"/>
      <w:bookmarkEnd w:id="37"/>
    </w:p>
    <w:p w14:paraId="67A29A82" w14:textId="36B61BF3" w:rsidR="00C90668" w:rsidRPr="00613F56" w:rsidRDefault="006A31A8" w:rsidP="00696F71">
      <w:pPr>
        <w:pStyle w:val="Nagwek3"/>
      </w:pPr>
      <w:bookmarkStart w:id="38" w:name="_Toc164069058"/>
      <w:bookmarkStart w:id="39" w:name="_Toc164069059"/>
      <w:bookmarkStart w:id="40" w:name="_Toc164069060"/>
      <w:bookmarkStart w:id="41" w:name="_Toc164069061"/>
      <w:bookmarkStart w:id="42" w:name="_Toc164069062"/>
      <w:bookmarkStart w:id="43" w:name="_Toc164069063"/>
      <w:bookmarkStart w:id="44" w:name="_Toc164069064"/>
      <w:bookmarkStart w:id="45" w:name="_Toc164069065"/>
      <w:bookmarkStart w:id="46" w:name="_Toc164069066"/>
      <w:bookmarkStart w:id="47" w:name="_Toc164069067"/>
      <w:bookmarkStart w:id="48" w:name="_Toc164069068"/>
      <w:bookmarkStart w:id="49" w:name="_Toc164069069"/>
      <w:bookmarkStart w:id="50" w:name="_Toc164069090"/>
      <w:bookmarkStart w:id="51" w:name="_Toc164069116"/>
      <w:bookmarkStart w:id="52" w:name="_Toc164069152"/>
      <w:bookmarkStart w:id="53" w:name="_Toc164069153"/>
      <w:bookmarkStart w:id="54" w:name="_Toc164069154"/>
      <w:bookmarkStart w:id="55" w:name="_Toc164069155"/>
      <w:bookmarkStart w:id="56" w:name="_Toc164069156"/>
      <w:bookmarkStart w:id="57" w:name="_Toc164069157"/>
      <w:bookmarkStart w:id="58" w:name="_Toc164069158"/>
      <w:bookmarkStart w:id="59" w:name="_Toc164069159"/>
      <w:bookmarkStart w:id="60" w:name="_Toc164069160"/>
      <w:bookmarkStart w:id="61" w:name="_Toc164069161"/>
      <w:bookmarkStart w:id="62" w:name="_Toc164069162"/>
      <w:bookmarkStart w:id="63" w:name="_Toc164069163"/>
      <w:bookmarkStart w:id="64" w:name="_Toc164069164"/>
      <w:bookmarkStart w:id="65" w:name="_Toc164069165"/>
      <w:bookmarkStart w:id="66" w:name="_Toc164069166"/>
      <w:bookmarkStart w:id="67" w:name="_Toc164069167"/>
      <w:bookmarkStart w:id="68" w:name="_Toc164069168"/>
      <w:bookmarkStart w:id="69" w:name="_Toc164069169"/>
      <w:bookmarkStart w:id="70" w:name="_Toc164069170"/>
      <w:bookmarkStart w:id="71" w:name="_Toc164069171"/>
      <w:bookmarkStart w:id="72" w:name="_Toc164069172"/>
      <w:bookmarkStart w:id="73" w:name="_Toc164069173"/>
      <w:bookmarkStart w:id="74" w:name="_Toc164069174"/>
      <w:bookmarkStart w:id="75" w:name="_Toc164069175"/>
      <w:bookmarkStart w:id="76" w:name="_Toc164069176"/>
      <w:bookmarkStart w:id="77" w:name="_Toc164069177"/>
      <w:bookmarkStart w:id="78" w:name="_Toc164069178"/>
      <w:bookmarkStart w:id="79" w:name="_Toc164069179"/>
      <w:bookmarkStart w:id="80" w:name="_Toc164069180"/>
      <w:bookmarkStart w:id="81" w:name="_Toc164069181"/>
      <w:bookmarkStart w:id="82" w:name="_Toc164069182"/>
      <w:bookmarkStart w:id="83" w:name="_Toc164069183"/>
      <w:bookmarkStart w:id="84" w:name="_Toc164069184"/>
      <w:bookmarkStart w:id="85" w:name="_Toc164069185"/>
      <w:bookmarkStart w:id="86" w:name="_Toc164069186"/>
      <w:bookmarkStart w:id="87" w:name="_Toc164069187"/>
      <w:bookmarkStart w:id="88" w:name="_Toc164069188"/>
      <w:bookmarkStart w:id="89" w:name="_Toc164069189"/>
      <w:bookmarkStart w:id="90" w:name="_Toc164069190"/>
      <w:bookmarkStart w:id="91" w:name="_Toc164069191"/>
      <w:bookmarkStart w:id="92" w:name="_Toc164069192"/>
      <w:bookmarkStart w:id="93" w:name="_Toc164069193"/>
      <w:bookmarkStart w:id="94" w:name="_Toc164069194"/>
      <w:bookmarkStart w:id="95" w:name="_Toc164069195"/>
      <w:bookmarkStart w:id="96" w:name="_Toc164069196"/>
      <w:bookmarkStart w:id="97" w:name="_Toc164069197"/>
      <w:bookmarkStart w:id="98" w:name="_Toc164069198"/>
      <w:bookmarkStart w:id="99" w:name="_Toc164069199"/>
      <w:bookmarkStart w:id="100" w:name="_Toc164069200"/>
      <w:bookmarkStart w:id="101" w:name="_Toc164069201"/>
      <w:bookmarkStart w:id="102" w:name="_Toc164069202"/>
      <w:bookmarkStart w:id="103" w:name="_Toc164069328"/>
      <w:bookmarkStart w:id="104" w:name="_Toc164069329"/>
      <w:bookmarkStart w:id="105" w:name="_Toc164069330"/>
      <w:bookmarkStart w:id="106" w:name="_Toc164069331"/>
      <w:bookmarkStart w:id="107" w:name="_Toc164069332"/>
      <w:bookmarkStart w:id="108" w:name="_Toc164069333"/>
      <w:bookmarkStart w:id="109" w:name="_Toc164069334"/>
      <w:bookmarkStart w:id="110" w:name="_Toc164069335"/>
      <w:bookmarkStart w:id="111" w:name="_Toc164069336"/>
      <w:bookmarkStart w:id="112" w:name="_Toc164069337"/>
      <w:bookmarkStart w:id="113" w:name="_Toc164069338"/>
      <w:bookmarkStart w:id="114" w:name="_Toc164069339"/>
      <w:bookmarkStart w:id="115" w:name="_Toc53578016"/>
      <w:bookmarkStart w:id="116" w:name="_Toc16406939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31531D">
        <w:lastRenderedPageBreak/>
        <w:t>Załącznik nr</w:t>
      </w:r>
      <w:r w:rsidRPr="00696F71">
        <w:t xml:space="preserve"> </w:t>
      </w:r>
      <w:bookmarkStart w:id="117" w:name="_Toc458671679"/>
      <w:r w:rsidR="00884F9B" w:rsidRPr="00696F71">
        <w:t>3</w:t>
      </w:r>
      <w:r w:rsidR="00884F9B" w:rsidRPr="00613F56">
        <w:t xml:space="preserve"> </w:t>
      </w:r>
      <w:r w:rsidR="00A34E8E" w:rsidRPr="00613F56">
        <w:t>–</w:t>
      </w:r>
      <w:r w:rsidR="00E50F22" w:rsidRPr="00613F56">
        <w:t xml:space="preserve"> </w:t>
      </w:r>
      <w:r>
        <w:t>P</w:t>
      </w:r>
      <w:r w:rsidRPr="0031531D">
        <w:t>rzykładowy wzór oświadczenia uczestnika projektu nt.</w:t>
      </w:r>
      <w:r w:rsidR="001D5485" w:rsidRPr="00613F56">
        <w:t> </w:t>
      </w:r>
      <w:r>
        <w:t>j</w:t>
      </w:r>
      <w:r w:rsidRPr="0031531D">
        <w:t>ego sytuacji po zakończeniu udziału w projekcie</w:t>
      </w:r>
      <w:bookmarkEnd w:id="115"/>
      <w:bookmarkEnd w:id="116"/>
      <w:bookmarkEnd w:id="117"/>
    </w:p>
    <w:p w14:paraId="640E5886" w14:textId="77F797C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613F56">
      <w:pgSz w:w="11906" w:h="16838"/>
      <w:pgMar w:top="212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F6CF2" w14:textId="77777777" w:rsidR="00DA6AE6" w:rsidRDefault="00DA6AE6" w:rsidP="00AA6756">
      <w:pPr>
        <w:spacing w:after="0" w:line="240" w:lineRule="auto"/>
      </w:pPr>
      <w:r>
        <w:separator/>
      </w:r>
    </w:p>
  </w:endnote>
  <w:endnote w:type="continuationSeparator" w:id="0">
    <w:p w14:paraId="0720DCD2" w14:textId="77777777" w:rsidR="00DA6AE6" w:rsidRDefault="00DA6AE6"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DA6AE6" w:rsidRDefault="00DA6AE6">
    <w:pPr>
      <w:pStyle w:val="Stopka"/>
    </w:pPr>
    <w:r>
      <w:rPr>
        <w:noProof/>
        <w:lang w:eastAsia="pl-PL"/>
      </w:rPr>
      <w:drawing>
        <wp:inline distT="0" distB="0" distL="0" distR="0" wp14:anchorId="410E6B24" wp14:editId="613125B5">
          <wp:extent cx="7016115" cy="194310"/>
          <wp:effectExtent l="0" t="0" r="0" b="0"/>
          <wp:docPr id="8"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DA6AE6" w:rsidRDefault="00DA6AE6">
        <w:pPr>
          <w:pStyle w:val="Stopka"/>
          <w:jc w:val="right"/>
        </w:pPr>
        <w:r>
          <w:fldChar w:fldCharType="begin"/>
        </w:r>
        <w:r>
          <w:instrText>PAGE   \* MERGEFORMAT</w:instrText>
        </w:r>
        <w:r>
          <w:fldChar w:fldCharType="separate"/>
        </w:r>
        <w:r>
          <w:t>2</w:t>
        </w:r>
        <w:r>
          <w:fldChar w:fldCharType="end"/>
        </w:r>
      </w:p>
    </w:sdtContent>
  </w:sdt>
  <w:p w14:paraId="10A4FB05" w14:textId="77777777" w:rsidR="00DA6AE6" w:rsidRDefault="00DA6A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33CD9526" w:rsidR="00DA6AE6" w:rsidRPr="008F2DE8" w:rsidRDefault="00DA6AE6"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10" name="Obraz 10"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DA6AE6" w:rsidRDefault="00DA6AE6">
    <w:pPr>
      <w:pStyle w:val="Stopka"/>
    </w:pPr>
  </w:p>
  <w:p w14:paraId="79190642" w14:textId="77777777" w:rsidR="00DA6AE6" w:rsidRDefault="00DA6AE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0674A56E" w:rsidR="00DA6AE6" w:rsidRDefault="00DA6AE6" w:rsidP="006C3856">
    <w:pPr>
      <w:pStyle w:val="Stopka"/>
      <w:tabs>
        <w:tab w:val="left" w:pos="3686"/>
      </w:tabs>
      <w:jc w:val="right"/>
    </w:pPr>
  </w:p>
  <w:p w14:paraId="19A85654" w14:textId="4F419400" w:rsidR="00DA6AE6" w:rsidRPr="008F2DE8" w:rsidRDefault="00DA6AE6"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12" name="Obraz 12"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D0DB" w14:textId="77777777" w:rsidR="00DA6AE6" w:rsidRDefault="00DA6AE6" w:rsidP="00AA6756">
      <w:pPr>
        <w:spacing w:after="0" w:line="240" w:lineRule="auto"/>
      </w:pPr>
      <w:r>
        <w:separator/>
      </w:r>
    </w:p>
  </w:footnote>
  <w:footnote w:type="continuationSeparator" w:id="0">
    <w:p w14:paraId="79BC8FFD" w14:textId="77777777" w:rsidR="00DA6AE6" w:rsidRDefault="00DA6AE6" w:rsidP="00AA6756">
      <w:pPr>
        <w:spacing w:after="0" w:line="240" w:lineRule="auto"/>
      </w:pPr>
      <w:r>
        <w:continuationSeparator/>
      </w:r>
    </w:p>
  </w:footnote>
  <w:footnote w:id="1">
    <w:p w14:paraId="1E6B8E04" w14:textId="29DE1BA6" w:rsidR="00DA6AE6" w:rsidRDefault="00DA6AE6"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28AEC6EE" w14:textId="77777777" w:rsidR="00DA6AE6" w:rsidRDefault="00DA6AE6">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3">
    <w:p w14:paraId="6172F442" w14:textId="77777777" w:rsidR="00DA6AE6" w:rsidRDefault="00DA6AE6"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4">
    <w:p w14:paraId="121166B0" w14:textId="77777777" w:rsidR="00DA6AE6" w:rsidRDefault="00DA6AE6"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5">
    <w:p w14:paraId="70FC190D" w14:textId="77777777" w:rsidR="00DA6AE6" w:rsidRDefault="00DA6AE6" w:rsidP="008F70BD">
      <w:pPr>
        <w:pStyle w:val="Tekstprzypisudolnego"/>
      </w:pPr>
      <w:r w:rsidRPr="60F0D32B">
        <w:rPr>
          <w:rStyle w:val="Odwoanieprzypisudolnego"/>
        </w:rPr>
        <w:footnoteRef/>
      </w:r>
      <w:r>
        <w:t xml:space="preserve"> https://joint-research-centre.ec.europa.eu/digcomp_en</w:t>
      </w:r>
    </w:p>
  </w:footnote>
  <w:footnote w:id="6">
    <w:p w14:paraId="409D3831" w14:textId="77777777" w:rsidR="00DA6AE6" w:rsidRDefault="00DA6AE6">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DA6AE6" w:rsidRDefault="00DA6AE6">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DA6AE6" w:rsidRDefault="00DA6AE6">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DA6AE6" w:rsidRDefault="00DA6AE6">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DA6AE6" w:rsidRDefault="00DA6AE6">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DA6AE6" w:rsidRPr="00DB6710" w:rsidRDefault="00DA6AE6">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DA6AE6" w:rsidRDefault="00DA6AE6">
    <w:pPr>
      <w:pStyle w:val="Nagwek"/>
    </w:pPr>
    <w:r>
      <w:rPr>
        <w:noProof/>
        <w:lang w:eastAsia="pl-PL"/>
      </w:rPr>
      <w:drawing>
        <wp:inline distT="0" distB="0" distL="0" distR="0" wp14:anchorId="22E0DCC4" wp14:editId="2781FE88">
          <wp:extent cx="7056120" cy="759460"/>
          <wp:effectExtent l="0" t="0" r="0" b="2540"/>
          <wp:docPr id="7" name="Obraz 7"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DA6AE6" w:rsidRDefault="00DA6AE6"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9" name="Obraz 9"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DA6AE6" w:rsidRDefault="00DA6AE6">
    <w:pPr>
      <w:pStyle w:val="Nagwek"/>
    </w:pPr>
  </w:p>
  <w:p w14:paraId="2AFE3B96" w14:textId="77777777" w:rsidR="00DA6AE6" w:rsidRDefault="00DA6A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DA6AE6" w:rsidRDefault="00DA6AE6"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DA6AE6" w:rsidRPr="008043BD" w:rsidRDefault="00DA6AE6" w:rsidP="00E04604">
    <w:pPr>
      <w:pStyle w:val="Nagwek"/>
      <w:jc w:val="center"/>
    </w:pPr>
    <w:r>
      <w:rPr>
        <w:noProof/>
      </w:rPr>
      <w:drawing>
        <wp:inline distT="0" distB="0" distL="0" distR="0" wp14:anchorId="3812BC0A" wp14:editId="1C21A372">
          <wp:extent cx="5759450" cy="594229"/>
          <wp:effectExtent l="0" t="0" r="0" b="0"/>
          <wp:docPr id="11" name="Obraz 1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11"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7"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5E86647"/>
    <w:multiLevelType w:val="hybridMultilevel"/>
    <w:tmpl w:val="0428D5A4"/>
    <w:lvl w:ilvl="0" w:tplc="6E9231E8">
      <w:start w:val="1"/>
      <w:numFmt w:val="decimal"/>
      <w:lvlText w:val="%1."/>
      <w:lvlJc w:val="left"/>
      <w:pPr>
        <w:ind w:left="502" w:hanging="360"/>
      </w:pPr>
      <w:rPr>
        <w:rFonts w:hint="default"/>
        <w:color w:val="0000FF" w:themeColor="hyperlink"/>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582449"/>
    <w:multiLevelType w:val="multilevel"/>
    <w:tmpl w:val="E92A71DC"/>
    <w:lvl w:ilvl="0">
      <w:start w:val="1"/>
      <w:numFmt w:val="decimal"/>
      <w:pStyle w:val="Nagwek2"/>
      <w:lvlText w:val="%1."/>
      <w:lvlJc w:val="left"/>
      <w:pPr>
        <w:ind w:left="720" w:hanging="360"/>
      </w:pPr>
    </w:lvl>
    <w:lvl w:ilvl="1">
      <w:start w:val="1"/>
      <w:numFmt w:val="decimal"/>
      <w:pStyle w:val="Nagwek4"/>
      <w:isLgl/>
      <w:lvlText w:val="%1.%2."/>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44"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CB086D"/>
    <w:multiLevelType w:val="hybridMultilevel"/>
    <w:tmpl w:val="FAF29D22"/>
    <w:lvl w:ilvl="0" w:tplc="0BDA2E48">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41"/>
  </w:num>
  <w:num w:numId="4">
    <w:abstractNumId w:val="17"/>
  </w:num>
  <w:num w:numId="5">
    <w:abstractNumId w:val="44"/>
  </w:num>
  <w:num w:numId="6">
    <w:abstractNumId w:val="0"/>
  </w:num>
  <w:num w:numId="7">
    <w:abstractNumId w:val="13"/>
  </w:num>
  <w:num w:numId="8">
    <w:abstractNumId w:val="11"/>
  </w:num>
  <w:num w:numId="9">
    <w:abstractNumId w:val="6"/>
  </w:num>
  <w:num w:numId="10">
    <w:abstractNumId w:val="46"/>
  </w:num>
  <w:num w:numId="11">
    <w:abstractNumId w:val="7"/>
  </w:num>
  <w:num w:numId="12">
    <w:abstractNumId w:val="42"/>
  </w:num>
  <w:num w:numId="13">
    <w:abstractNumId w:val="24"/>
  </w:num>
  <w:num w:numId="14">
    <w:abstractNumId w:val="26"/>
  </w:num>
  <w:num w:numId="15">
    <w:abstractNumId w:val="33"/>
  </w:num>
  <w:num w:numId="16">
    <w:abstractNumId w:val="18"/>
  </w:num>
  <w:num w:numId="17">
    <w:abstractNumId w:val="2"/>
  </w:num>
  <w:num w:numId="18">
    <w:abstractNumId w:val="45"/>
  </w:num>
  <w:num w:numId="19">
    <w:abstractNumId w:val="23"/>
  </w:num>
  <w:num w:numId="20">
    <w:abstractNumId w:val="4"/>
  </w:num>
  <w:num w:numId="21">
    <w:abstractNumId w:val="14"/>
  </w:num>
  <w:num w:numId="22">
    <w:abstractNumId w:val="9"/>
  </w:num>
  <w:num w:numId="23">
    <w:abstractNumId w:val="28"/>
  </w:num>
  <w:num w:numId="24">
    <w:abstractNumId w:val="40"/>
  </w:num>
  <w:num w:numId="25">
    <w:abstractNumId w:val="12"/>
  </w:num>
  <w:num w:numId="26">
    <w:abstractNumId w:val="38"/>
  </w:num>
  <w:num w:numId="27">
    <w:abstractNumId w:val="5"/>
  </w:num>
  <w:num w:numId="28">
    <w:abstractNumId w:val="8"/>
  </w:num>
  <w:num w:numId="29">
    <w:abstractNumId w:val="20"/>
  </w:num>
  <w:num w:numId="30">
    <w:abstractNumId w:val="21"/>
  </w:num>
  <w:num w:numId="31">
    <w:abstractNumId w:val="19"/>
  </w:num>
  <w:num w:numId="32">
    <w:abstractNumId w:val="25"/>
  </w:num>
  <w:num w:numId="33">
    <w:abstractNumId w:val="34"/>
  </w:num>
  <w:num w:numId="34">
    <w:abstractNumId w:val="3"/>
  </w:num>
  <w:num w:numId="35">
    <w:abstractNumId w:val="35"/>
  </w:num>
  <w:num w:numId="36">
    <w:abstractNumId w:val="47"/>
  </w:num>
  <w:num w:numId="37">
    <w:abstractNumId w:val="22"/>
  </w:num>
  <w:num w:numId="38">
    <w:abstractNumId w:val="16"/>
  </w:num>
  <w:num w:numId="39">
    <w:abstractNumId w:val="31"/>
  </w:num>
  <w:num w:numId="40">
    <w:abstractNumId w:val="37"/>
  </w:num>
  <w:num w:numId="41">
    <w:abstractNumId w:val="39"/>
  </w:num>
  <w:num w:numId="42">
    <w:abstractNumId w:val="1"/>
  </w:num>
  <w:num w:numId="43">
    <w:abstractNumId w:val="15"/>
  </w:num>
  <w:num w:numId="44">
    <w:abstractNumId w:val="48"/>
  </w:num>
  <w:num w:numId="45">
    <w:abstractNumId w:val="30"/>
  </w:num>
  <w:num w:numId="46">
    <w:abstractNumId w:val="38"/>
  </w:num>
  <w:num w:numId="47">
    <w:abstractNumId w:val="38"/>
  </w:num>
  <w:num w:numId="48">
    <w:abstractNumId w:val="10"/>
  </w:num>
  <w:num w:numId="4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29"/>
  </w:num>
  <w:num w:numId="5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434D8A4-CAE3-4B7D-AD01-6494963EE267}"/>
  </w:docVars>
  <w:rsids>
    <w:rsidRoot w:val="00E32095"/>
    <w:rsid w:val="0000011A"/>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4FE2"/>
    <w:rsid w:val="00045188"/>
    <w:rsid w:val="00045A39"/>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CD9"/>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3D19"/>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00D5"/>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69A8"/>
    <w:rsid w:val="001672DA"/>
    <w:rsid w:val="00167356"/>
    <w:rsid w:val="0016759D"/>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5DD3"/>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3C5"/>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8E6"/>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2905"/>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205"/>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6B49"/>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C7A"/>
    <w:rsid w:val="002F6F27"/>
    <w:rsid w:val="00302506"/>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908"/>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40B1"/>
    <w:rsid w:val="003853B0"/>
    <w:rsid w:val="0038553D"/>
    <w:rsid w:val="003857D1"/>
    <w:rsid w:val="00390006"/>
    <w:rsid w:val="0039003D"/>
    <w:rsid w:val="003905C1"/>
    <w:rsid w:val="00390A86"/>
    <w:rsid w:val="00390F01"/>
    <w:rsid w:val="00391755"/>
    <w:rsid w:val="00391EA0"/>
    <w:rsid w:val="003931A4"/>
    <w:rsid w:val="0039344C"/>
    <w:rsid w:val="00394A95"/>
    <w:rsid w:val="003950B5"/>
    <w:rsid w:val="00396896"/>
    <w:rsid w:val="00397AFF"/>
    <w:rsid w:val="00397C70"/>
    <w:rsid w:val="00397CB4"/>
    <w:rsid w:val="003A0835"/>
    <w:rsid w:val="003A0AF6"/>
    <w:rsid w:val="003A0C9A"/>
    <w:rsid w:val="003A1A62"/>
    <w:rsid w:val="003A1B49"/>
    <w:rsid w:val="003A2B90"/>
    <w:rsid w:val="003A2C80"/>
    <w:rsid w:val="003A316B"/>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43E"/>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2C25"/>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5CB4"/>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B01"/>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14C"/>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68B1"/>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B99"/>
    <w:rsid w:val="005C7C79"/>
    <w:rsid w:val="005C7CAD"/>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3F56"/>
    <w:rsid w:val="006140C9"/>
    <w:rsid w:val="00614670"/>
    <w:rsid w:val="00614B71"/>
    <w:rsid w:val="00616FDB"/>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7F0"/>
    <w:rsid w:val="00694976"/>
    <w:rsid w:val="00694A22"/>
    <w:rsid w:val="00694BB1"/>
    <w:rsid w:val="0069517E"/>
    <w:rsid w:val="00695DD3"/>
    <w:rsid w:val="006963BF"/>
    <w:rsid w:val="00696414"/>
    <w:rsid w:val="00696452"/>
    <w:rsid w:val="00696998"/>
    <w:rsid w:val="00696F71"/>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33C"/>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4E8"/>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57B09"/>
    <w:rsid w:val="00760145"/>
    <w:rsid w:val="007617CD"/>
    <w:rsid w:val="00762A8B"/>
    <w:rsid w:val="00762B0D"/>
    <w:rsid w:val="00763195"/>
    <w:rsid w:val="0076364F"/>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9690D"/>
    <w:rsid w:val="007974A6"/>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D7CAE"/>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2E2"/>
    <w:rsid w:val="007F1BB8"/>
    <w:rsid w:val="007F205E"/>
    <w:rsid w:val="007F2963"/>
    <w:rsid w:val="007F2A04"/>
    <w:rsid w:val="007F2C90"/>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775"/>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3D0"/>
    <w:rsid w:val="00880504"/>
    <w:rsid w:val="00880B94"/>
    <w:rsid w:val="00881172"/>
    <w:rsid w:val="00881BD2"/>
    <w:rsid w:val="0088283C"/>
    <w:rsid w:val="00882B37"/>
    <w:rsid w:val="008832CE"/>
    <w:rsid w:val="00883473"/>
    <w:rsid w:val="00884137"/>
    <w:rsid w:val="0088495E"/>
    <w:rsid w:val="00884ABC"/>
    <w:rsid w:val="00884C6D"/>
    <w:rsid w:val="00884F9B"/>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0FF"/>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8B2"/>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9C9"/>
    <w:rsid w:val="008F3A93"/>
    <w:rsid w:val="008F432E"/>
    <w:rsid w:val="008F47E9"/>
    <w:rsid w:val="008F481F"/>
    <w:rsid w:val="008F5A9E"/>
    <w:rsid w:val="008F67F0"/>
    <w:rsid w:val="008F70BD"/>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17F89"/>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5FF4"/>
    <w:rsid w:val="009965B2"/>
    <w:rsid w:val="00996B35"/>
    <w:rsid w:val="00996BDA"/>
    <w:rsid w:val="009970AA"/>
    <w:rsid w:val="0099731E"/>
    <w:rsid w:val="00997361"/>
    <w:rsid w:val="009A0431"/>
    <w:rsid w:val="009A0955"/>
    <w:rsid w:val="009A0D85"/>
    <w:rsid w:val="009A12D6"/>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0B8"/>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2FDD"/>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3EE"/>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623"/>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AB5"/>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634"/>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3FF5"/>
    <w:rsid w:val="00AB48F4"/>
    <w:rsid w:val="00AB4D0E"/>
    <w:rsid w:val="00AB4D16"/>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4A8"/>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0B2"/>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724"/>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3B8"/>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29"/>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3AE2"/>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3FE6"/>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5A5D"/>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CF1"/>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245"/>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4FAE"/>
    <w:rsid w:val="00C5586D"/>
    <w:rsid w:val="00C55C9A"/>
    <w:rsid w:val="00C56CDB"/>
    <w:rsid w:val="00C57130"/>
    <w:rsid w:val="00C57771"/>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3378"/>
    <w:rsid w:val="00CA351B"/>
    <w:rsid w:val="00CA3ABE"/>
    <w:rsid w:val="00CA3C0E"/>
    <w:rsid w:val="00CA4454"/>
    <w:rsid w:val="00CA4AE8"/>
    <w:rsid w:val="00CA4BE8"/>
    <w:rsid w:val="00CA5365"/>
    <w:rsid w:val="00CA5704"/>
    <w:rsid w:val="00CA6688"/>
    <w:rsid w:val="00CA6918"/>
    <w:rsid w:val="00CA735D"/>
    <w:rsid w:val="00CB0AFB"/>
    <w:rsid w:val="00CB0B42"/>
    <w:rsid w:val="00CB115E"/>
    <w:rsid w:val="00CB1291"/>
    <w:rsid w:val="00CB13D7"/>
    <w:rsid w:val="00CB2CCD"/>
    <w:rsid w:val="00CB3C0E"/>
    <w:rsid w:val="00CB3C22"/>
    <w:rsid w:val="00CB41F7"/>
    <w:rsid w:val="00CB480C"/>
    <w:rsid w:val="00CB4AC0"/>
    <w:rsid w:val="00CB52D5"/>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2356"/>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43F"/>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6AE6"/>
    <w:rsid w:val="00DA79EC"/>
    <w:rsid w:val="00DB052D"/>
    <w:rsid w:val="00DB0EA9"/>
    <w:rsid w:val="00DB1A66"/>
    <w:rsid w:val="00DB1B82"/>
    <w:rsid w:val="00DB1E8B"/>
    <w:rsid w:val="00DB20DE"/>
    <w:rsid w:val="00DB2410"/>
    <w:rsid w:val="00DB2CAB"/>
    <w:rsid w:val="00DB3330"/>
    <w:rsid w:val="00DB3CE6"/>
    <w:rsid w:val="00DB3D8F"/>
    <w:rsid w:val="00DB423C"/>
    <w:rsid w:val="00DB4390"/>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2DD0"/>
    <w:rsid w:val="00E034D7"/>
    <w:rsid w:val="00E038DD"/>
    <w:rsid w:val="00E03A45"/>
    <w:rsid w:val="00E03C4B"/>
    <w:rsid w:val="00E04328"/>
    <w:rsid w:val="00E04604"/>
    <w:rsid w:val="00E0497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695F"/>
    <w:rsid w:val="00E170BC"/>
    <w:rsid w:val="00E17989"/>
    <w:rsid w:val="00E2059C"/>
    <w:rsid w:val="00E20623"/>
    <w:rsid w:val="00E20A61"/>
    <w:rsid w:val="00E20B12"/>
    <w:rsid w:val="00E21243"/>
    <w:rsid w:val="00E215E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CD"/>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6A63"/>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AF3"/>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A7B"/>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99E"/>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781"/>
    <w:rsid w:val="00EC3A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390F"/>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6A6"/>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A03"/>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44"/>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9CD"/>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22954591">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D8A4-CAE3-4B7D-AD01-6494963EE267}">
  <ds:schemaRefs>
    <ds:schemaRef ds:uri="http://www.w3.org/2001/XMLSchema"/>
  </ds:schemaRefs>
</ds:datastoreItem>
</file>

<file path=customXml/itemProps2.xml><?xml version="1.0" encoding="utf-8"?>
<ds:datastoreItem xmlns:ds="http://schemas.openxmlformats.org/officeDocument/2006/customXml" ds:itemID="{026569F1-DF15-414F-887D-27B29AEC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7538</Words>
  <Characters>45232</Characters>
  <Application>Microsoft Office Word</Application>
  <DocSecurity>4</DocSecurity>
  <Lines>376</Lines>
  <Paragraphs>105</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5.6. na rok 2024</dc:title>
  <dc:subject>Zasady pomiaru wskaźników</dc:subject>
  <dc:creator>Agata Michałowska</dc:creator>
  <cp:keywords>Wskaźniki;Działanie 5.4.</cp:keywords>
  <dc:description/>
  <cp:lastModifiedBy>Trzaskalska Ewa</cp:lastModifiedBy>
  <cp:revision>2</cp:revision>
  <cp:lastPrinted>2024-04-15T08:30:00Z</cp:lastPrinted>
  <dcterms:created xsi:type="dcterms:W3CDTF">2025-01-24T10:28:00Z</dcterms:created>
  <dcterms:modified xsi:type="dcterms:W3CDTF">2025-01-24T10:28:00Z</dcterms:modified>
</cp:coreProperties>
</file>