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:rsidR="005876C3" w:rsidRPr="006E238E" w:rsidRDefault="0047318B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3134A">
        <w:rPr>
          <w:rFonts w:asciiTheme="minorHAnsi" w:hAnsiTheme="minorHAnsi" w:cstheme="minorHAnsi"/>
        </w:rPr>
        <w:t>7 listopada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547CCC">
        <w:rPr>
          <w:rFonts w:asciiTheme="minorHAnsi" w:hAnsiTheme="minorHAnsi" w:cstheme="minorHAnsi"/>
        </w:rPr>
        <w:t>5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:rsidR="002B66E8" w:rsidRPr="002B66E8" w:rsidRDefault="00A35E72" w:rsidP="002B66E8">
      <w:pPr>
        <w:spacing w:line="276" w:lineRule="auto"/>
        <w:rPr>
          <w:rFonts w:ascii="Calibri" w:hAnsi="Calibri"/>
        </w:rPr>
      </w:pPr>
      <w:r>
        <w:rPr>
          <w:rFonts w:ascii="Aptos" w:hAnsi="Aptos"/>
        </w:rPr>
        <w:t xml:space="preserve">Sala 004 </w:t>
      </w:r>
      <w:bookmarkStart w:id="0" w:name="_GoBack"/>
      <w:bookmarkEnd w:id="0"/>
      <w:r w:rsidR="00F43498">
        <w:rPr>
          <w:rFonts w:ascii="Aptos" w:hAnsi="Aptos"/>
        </w:rPr>
        <w:t xml:space="preserve">Centrum Edukacyjno-Wdrożeniowe Chojnice, ul. Józefa Piłsudskiego 30A, </w:t>
      </w:r>
      <w:r w:rsidR="00F43498">
        <w:rPr>
          <w:rFonts w:ascii="Aptos" w:hAnsi="Aptos"/>
        </w:rPr>
        <w:br/>
        <w:t>89-600 Chojnice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6E238E">
        <w:rPr>
          <w:rFonts w:asciiTheme="minorHAnsi" w:hAnsiTheme="minorHAnsi" w:cstheme="minorHAnsi"/>
          <w:lang w:val="en-GB"/>
        </w:rPr>
        <w:t>tel.: (58) 32 68 152/148/147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:rsidR="00D81940" w:rsidRDefault="00CF72B4" w:rsidP="00D81940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:rsidR="00205C87" w:rsidRPr="00394E42" w:rsidRDefault="00F55A44" w:rsidP="00D81940">
      <w:pPr>
        <w:spacing w:line="22" w:lineRule="atLeast"/>
        <w:rPr>
          <w:rFonts w:asciiTheme="minorHAnsi" w:hAnsiTheme="minorHAnsi" w:cstheme="minorHAnsi"/>
          <w:sz w:val="28"/>
          <w:szCs w:val="28"/>
        </w:rPr>
      </w:pPr>
      <w:r w:rsidRPr="00394E42">
        <w:rPr>
          <w:rFonts w:asciiTheme="minorHAnsi" w:hAnsiTheme="minorHAnsi" w:cstheme="minorHAnsi"/>
          <w:b/>
          <w:bCs/>
          <w:sz w:val="28"/>
          <w:szCs w:val="28"/>
        </w:rPr>
        <w:t>Szkolenie stacjonarne</w:t>
      </w:r>
      <w:r w:rsidR="00F612DD" w:rsidRPr="00394E42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63134A">
        <w:rPr>
          <w:rFonts w:asciiTheme="minorHAnsi" w:hAnsiTheme="minorHAnsi" w:cstheme="minorHAnsi"/>
          <w:b/>
          <w:bCs/>
          <w:sz w:val="28"/>
          <w:szCs w:val="28"/>
        </w:rPr>
        <w:t>Chojnicach</w:t>
      </w:r>
      <w:r w:rsidR="00F612DD" w:rsidRPr="00394E4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94E42">
        <w:rPr>
          <w:rFonts w:asciiTheme="minorHAnsi" w:hAnsiTheme="minorHAnsi" w:cstheme="minorHAnsi"/>
          <w:b/>
          <w:bCs/>
          <w:sz w:val="28"/>
          <w:szCs w:val="28"/>
        </w:rPr>
        <w:t xml:space="preserve"> Zasady horyzontalne w projektach FEP 2021 </w:t>
      </w:r>
      <w:r w:rsidR="00D81940" w:rsidRPr="00394E42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394E42">
        <w:rPr>
          <w:rFonts w:asciiTheme="minorHAnsi" w:hAnsiTheme="minorHAnsi" w:cstheme="minorHAnsi"/>
          <w:b/>
          <w:bCs/>
          <w:sz w:val="28"/>
          <w:szCs w:val="28"/>
        </w:rPr>
        <w:t xml:space="preserve"> 2027</w:t>
      </w:r>
    </w:p>
    <w:p w:rsidR="00D81940" w:rsidRDefault="00D81940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C52763" w:rsidRDefault="00F578D3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C52763">
        <w:rPr>
          <w:rFonts w:asciiTheme="minorHAnsi" w:hAnsiTheme="minorHAnsi" w:cstheme="minorHAnsi"/>
          <w:b/>
          <w:bCs/>
        </w:rPr>
        <w:t xml:space="preserve">:00 – </w:t>
      </w:r>
      <w:r>
        <w:rPr>
          <w:rFonts w:asciiTheme="minorHAnsi" w:hAnsiTheme="minorHAnsi" w:cstheme="minorHAnsi"/>
          <w:b/>
          <w:bCs/>
        </w:rPr>
        <w:t>10</w:t>
      </w:r>
      <w:r w:rsidR="00C52763">
        <w:rPr>
          <w:rFonts w:asciiTheme="minorHAnsi" w:hAnsiTheme="minorHAnsi" w:cstheme="minorHAnsi"/>
          <w:b/>
          <w:bCs/>
        </w:rPr>
        <w:t xml:space="preserve">:10 Oferta </w:t>
      </w:r>
      <w:r w:rsidR="001B02B8">
        <w:rPr>
          <w:rFonts w:asciiTheme="minorHAnsi" w:hAnsiTheme="minorHAnsi" w:cstheme="minorHAnsi"/>
          <w:b/>
          <w:bCs/>
        </w:rPr>
        <w:t xml:space="preserve">Lokalnego </w:t>
      </w:r>
      <w:r w:rsidR="00C52763">
        <w:rPr>
          <w:rFonts w:asciiTheme="minorHAnsi" w:hAnsiTheme="minorHAnsi" w:cstheme="minorHAnsi"/>
          <w:b/>
          <w:bCs/>
        </w:rPr>
        <w:t xml:space="preserve">Punktu Informacyjnego Funduszy </w:t>
      </w:r>
    </w:p>
    <w:p w:rsidR="00C52763" w:rsidRDefault="00C52763" w:rsidP="00C52763">
      <w:pPr>
        <w:ind w:left="709" w:firstLine="709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Europejskich w</w:t>
      </w:r>
      <w:r w:rsidR="0063134A">
        <w:rPr>
          <w:rFonts w:asciiTheme="minorHAnsi" w:hAnsiTheme="minorHAnsi" w:cstheme="minorHAnsi"/>
          <w:b/>
          <w:bCs/>
        </w:rPr>
        <w:t xml:space="preserve"> Chojnicach</w:t>
      </w:r>
    </w:p>
    <w:p w:rsidR="00C52763" w:rsidRDefault="00C52763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C52763" w:rsidRDefault="00F578D3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C52763">
        <w:rPr>
          <w:rFonts w:asciiTheme="minorHAnsi" w:hAnsiTheme="minorHAnsi" w:cstheme="minorHAnsi"/>
          <w:b/>
          <w:bCs/>
        </w:rPr>
        <w:t>:10 – 1</w:t>
      </w:r>
      <w:r>
        <w:rPr>
          <w:rFonts w:asciiTheme="minorHAnsi" w:hAnsiTheme="minorHAnsi" w:cstheme="minorHAnsi"/>
          <w:b/>
          <w:bCs/>
        </w:rPr>
        <w:t>1</w:t>
      </w:r>
      <w:r w:rsidR="00C52763">
        <w:rPr>
          <w:rFonts w:asciiTheme="minorHAnsi" w:hAnsiTheme="minorHAnsi" w:cstheme="minorHAnsi"/>
          <w:b/>
          <w:bCs/>
        </w:rPr>
        <w:t xml:space="preserve">:00 </w:t>
      </w:r>
      <w:r w:rsidR="00D81940" w:rsidRPr="00D81940">
        <w:rPr>
          <w:rFonts w:asciiTheme="minorHAnsi" w:hAnsiTheme="minorHAnsi" w:cstheme="minorHAnsi"/>
          <w:b/>
          <w:bCs/>
        </w:rPr>
        <w:t xml:space="preserve">Moduł 1: Wprowadzenie do szkolenia – zasady </w:t>
      </w:r>
      <w:r w:rsidR="00C52763">
        <w:rPr>
          <w:rFonts w:asciiTheme="minorHAnsi" w:hAnsiTheme="minorHAnsi" w:cstheme="minorHAnsi"/>
          <w:b/>
          <w:bCs/>
        </w:rPr>
        <w:t xml:space="preserve">  </w:t>
      </w:r>
    </w:p>
    <w:p w:rsidR="00D81940" w:rsidRPr="00D81940" w:rsidRDefault="00C52763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</w:t>
      </w:r>
      <w:r w:rsidRPr="00D81940">
        <w:rPr>
          <w:rFonts w:asciiTheme="minorHAnsi" w:hAnsiTheme="minorHAnsi" w:cstheme="minorHAnsi"/>
          <w:b/>
          <w:bCs/>
        </w:rPr>
        <w:t>H</w:t>
      </w:r>
      <w:r w:rsidR="00D81940" w:rsidRPr="00D81940">
        <w:rPr>
          <w:rFonts w:asciiTheme="minorHAnsi" w:hAnsiTheme="minorHAnsi" w:cstheme="minorHAnsi"/>
          <w:b/>
          <w:bCs/>
        </w:rPr>
        <w:t>oryzontalne</w:t>
      </w:r>
      <w:r>
        <w:rPr>
          <w:rFonts w:asciiTheme="minorHAnsi" w:hAnsiTheme="minorHAnsi" w:cstheme="minorHAnsi"/>
          <w:b/>
          <w:bCs/>
        </w:rPr>
        <w:t>:</w:t>
      </w:r>
    </w:p>
    <w:p w:rsidR="00D81940" w:rsidRPr="00D81940" w:rsidRDefault="00D81940" w:rsidP="00D81940">
      <w:pPr>
        <w:pStyle w:val="Akapitzlist"/>
        <w:numPr>
          <w:ilvl w:val="0"/>
          <w:numId w:val="20"/>
        </w:numPr>
        <w:spacing w:after="200" w:line="276" w:lineRule="auto"/>
        <w:contextualSpacing/>
        <w:rPr>
          <w:b/>
          <w:bCs/>
          <w:sz w:val="24"/>
          <w:szCs w:val="24"/>
        </w:rPr>
      </w:pPr>
      <w:r w:rsidRPr="00D81940">
        <w:rPr>
          <w:bCs/>
          <w:sz w:val="24"/>
          <w:szCs w:val="24"/>
        </w:rPr>
        <w:t>Kluczowe dokumenty – Karta Praw Podstawowych UE, Konwencja o Prawach Osób Niepełnosprawnych (KPON), inne wytyczne</w:t>
      </w:r>
    </w:p>
    <w:p w:rsidR="00D81940" w:rsidRPr="00D81940" w:rsidRDefault="00D81940" w:rsidP="00D81940">
      <w:pPr>
        <w:pStyle w:val="Akapitzlist"/>
        <w:numPr>
          <w:ilvl w:val="0"/>
          <w:numId w:val="20"/>
        </w:numPr>
        <w:spacing w:after="200" w:line="276" w:lineRule="auto"/>
        <w:contextualSpacing/>
        <w:rPr>
          <w:b/>
          <w:bCs/>
          <w:sz w:val="24"/>
          <w:szCs w:val="24"/>
        </w:rPr>
      </w:pPr>
      <w:r w:rsidRPr="00D81940">
        <w:rPr>
          <w:bCs/>
          <w:sz w:val="24"/>
          <w:szCs w:val="24"/>
        </w:rPr>
        <w:t xml:space="preserve">Kluczowe pojęcia – równość, godność, </w:t>
      </w:r>
      <w:proofErr w:type="spellStart"/>
      <w:r w:rsidRPr="00D81940">
        <w:rPr>
          <w:bCs/>
          <w:sz w:val="24"/>
          <w:szCs w:val="24"/>
        </w:rPr>
        <w:t>ableizm</w:t>
      </w:r>
      <w:proofErr w:type="spellEnd"/>
      <w:r w:rsidRPr="00D81940">
        <w:rPr>
          <w:bCs/>
          <w:sz w:val="24"/>
          <w:szCs w:val="24"/>
        </w:rPr>
        <w:t xml:space="preserve">, niepełnosprawność – dlaczego tak ważne? </w:t>
      </w:r>
    </w:p>
    <w:p w:rsidR="00D81940" w:rsidRPr="00C52763" w:rsidRDefault="00D81940" w:rsidP="00D81940">
      <w:pPr>
        <w:pStyle w:val="Akapitzlist"/>
        <w:numPr>
          <w:ilvl w:val="0"/>
          <w:numId w:val="20"/>
        </w:numPr>
        <w:spacing w:after="200" w:line="276" w:lineRule="auto"/>
        <w:contextualSpacing/>
        <w:rPr>
          <w:b/>
          <w:bCs/>
          <w:sz w:val="24"/>
          <w:szCs w:val="24"/>
        </w:rPr>
      </w:pPr>
      <w:r w:rsidRPr="00D81940">
        <w:rPr>
          <w:bCs/>
          <w:sz w:val="24"/>
          <w:szCs w:val="24"/>
        </w:rPr>
        <w:t xml:space="preserve">Czy dyskryminujemy? </w:t>
      </w:r>
    </w:p>
    <w:p w:rsidR="00C52763" w:rsidRPr="00C52763" w:rsidRDefault="00C52763" w:rsidP="00C52763">
      <w:pPr>
        <w:spacing w:after="20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578D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:00 – 1</w:t>
      </w:r>
      <w:r w:rsidR="00F578D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:15 Przerwa kawowa</w:t>
      </w:r>
    </w:p>
    <w:p w:rsidR="00C52763" w:rsidRDefault="00C52763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D81940" w:rsidRPr="00D81940" w:rsidRDefault="00C52763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578D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:15 – 1</w:t>
      </w:r>
      <w:r w:rsidR="00F578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:00 </w:t>
      </w:r>
      <w:r w:rsidR="00D81940" w:rsidRPr="00D81940">
        <w:rPr>
          <w:rFonts w:asciiTheme="minorHAnsi" w:hAnsiTheme="minorHAnsi" w:cstheme="minorHAnsi"/>
          <w:b/>
          <w:bCs/>
        </w:rPr>
        <w:t>Moduł 2: Karta praw podstawowych UE</w:t>
      </w:r>
      <w:r>
        <w:rPr>
          <w:rFonts w:asciiTheme="minorHAnsi" w:hAnsiTheme="minorHAnsi" w:cstheme="minorHAnsi"/>
          <w:b/>
          <w:bCs/>
        </w:rPr>
        <w:t>:</w:t>
      </w:r>
    </w:p>
    <w:p w:rsidR="00D81940" w:rsidRPr="00C52763" w:rsidRDefault="00D81940" w:rsidP="00C52763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C52763">
        <w:rPr>
          <w:rFonts w:asciiTheme="minorHAnsi" w:hAnsiTheme="minorHAnsi" w:cstheme="minorHAnsi"/>
        </w:rPr>
        <w:t>Czym są prawa podstawowe?</w:t>
      </w:r>
    </w:p>
    <w:p w:rsidR="00D81940" w:rsidRPr="00D81940" w:rsidRDefault="00D81940" w:rsidP="00D81940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D81940">
        <w:rPr>
          <w:rFonts w:asciiTheme="minorHAnsi" w:hAnsiTheme="minorHAnsi" w:cstheme="minorHAnsi"/>
        </w:rPr>
        <w:t xml:space="preserve">Rola i znaczenie </w:t>
      </w:r>
      <w:r w:rsidRPr="00D81940">
        <w:rPr>
          <w:rFonts w:asciiTheme="minorHAnsi" w:hAnsiTheme="minorHAnsi" w:cstheme="minorHAnsi"/>
          <w:b/>
          <w:bCs/>
        </w:rPr>
        <w:t>Karty Praw Podstawowych Unii Europejskiej</w:t>
      </w:r>
      <w:r w:rsidRPr="00D81940">
        <w:rPr>
          <w:rFonts w:asciiTheme="minorHAnsi" w:hAnsiTheme="minorHAnsi" w:cstheme="minorHAnsi"/>
        </w:rPr>
        <w:t>. Kluczowe prawa i zasady.</w:t>
      </w:r>
    </w:p>
    <w:p w:rsidR="00D81940" w:rsidRPr="00D81940" w:rsidRDefault="00D81940" w:rsidP="00D81940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D81940">
        <w:rPr>
          <w:rFonts w:asciiTheme="minorHAnsi" w:hAnsiTheme="minorHAnsi" w:cstheme="minorHAnsi"/>
        </w:rPr>
        <w:t>Studium przypadku – analiza przykładów naruszeń</w:t>
      </w:r>
    </w:p>
    <w:p w:rsidR="00D81940" w:rsidRPr="00D81940" w:rsidRDefault="00D81940" w:rsidP="00D81940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r w:rsidRPr="00D81940">
        <w:rPr>
          <w:rFonts w:asciiTheme="minorHAnsi" w:hAnsiTheme="minorHAnsi" w:cstheme="minorHAnsi"/>
        </w:rPr>
        <w:t>Zasady równości i niedyskryminacji w kontekście osób z niepełnosprawnością.</w:t>
      </w:r>
    </w:p>
    <w:p w:rsidR="00D81940" w:rsidRPr="00DD55EC" w:rsidRDefault="00D81940" w:rsidP="00D81940">
      <w:pPr>
        <w:spacing w:line="276" w:lineRule="auto"/>
        <w:ind w:left="720"/>
        <w:rPr>
          <w:sz w:val="22"/>
          <w:szCs w:val="22"/>
        </w:rPr>
      </w:pPr>
    </w:p>
    <w:p w:rsidR="00C52763" w:rsidRDefault="00C52763" w:rsidP="00D81940">
      <w:pPr>
        <w:spacing w:line="276" w:lineRule="auto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578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:00 – 1</w:t>
      </w:r>
      <w:r w:rsidR="00F578D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:00 </w:t>
      </w:r>
      <w:r w:rsidR="00D81940" w:rsidRPr="00D81940">
        <w:rPr>
          <w:rFonts w:asciiTheme="minorHAnsi" w:hAnsiTheme="minorHAnsi" w:cstheme="minorHAnsi"/>
          <w:b/>
          <w:bCs/>
        </w:rPr>
        <w:t xml:space="preserve">Moduł 3: Konwencja ONZ o prawach osób </w:t>
      </w:r>
    </w:p>
    <w:p w:rsidR="00D81940" w:rsidRPr="00D81940" w:rsidRDefault="00C52763" w:rsidP="00D81940">
      <w:pPr>
        <w:spacing w:line="276" w:lineRule="auto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</w:t>
      </w:r>
      <w:r w:rsidR="00D81940" w:rsidRPr="00D81940">
        <w:rPr>
          <w:rFonts w:asciiTheme="minorHAnsi" w:hAnsiTheme="minorHAnsi" w:cstheme="minorHAnsi"/>
          <w:b/>
          <w:bCs/>
        </w:rPr>
        <w:t xml:space="preserve">niepełnosprawnych w praktyce administracyjnej </w:t>
      </w:r>
    </w:p>
    <w:p w:rsidR="00D81940" w:rsidRPr="00C52763" w:rsidRDefault="00D81940" w:rsidP="00C52763">
      <w:pPr>
        <w:pStyle w:val="Akapitzlist"/>
        <w:numPr>
          <w:ilvl w:val="0"/>
          <w:numId w:val="24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52763">
        <w:rPr>
          <w:rFonts w:asciiTheme="minorHAnsi" w:hAnsiTheme="minorHAnsi" w:cstheme="minorHAnsi"/>
          <w:sz w:val="24"/>
          <w:szCs w:val="24"/>
        </w:rPr>
        <w:t xml:space="preserve">Czym jest Konwencja i dlaczego nie przestaniemy o niej mówić? </w:t>
      </w:r>
    </w:p>
    <w:p w:rsidR="00D81940" w:rsidRPr="00C52763" w:rsidRDefault="00D81940" w:rsidP="00D81940">
      <w:pPr>
        <w:pStyle w:val="Akapitzlist"/>
        <w:numPr>
          <w:ilvl w:val="0"/>
          <w:numId w:val="24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52763">
        <w:rPr>
          <w:rFonts w:asciiTheme="minorHAnsi" w:hAnsiTheme="minorHAnsi" w:cstheme="minorHAnsi"/>
          <w:sz w:val="24"/>
          <w:szCs w:val="24"/>
        </w:rPr>
        <w:t>Obowiązki państwa i samorządu wynikające z Konwencji.</w:t>
      </w:r>
    </w:p>
    <w:p w:rsidR="00D81940" w:rsidRPr="00D81940" w:rsidRDefault="00D81940" w:rsidP="00D81940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D81940">
        <w:rPr>
          <w:rFonts w:asciiTheme="minorHAnsi" w:hAnsiTheme="minorHAnsi" w:cstheme="minorHAnsi"/>
        </w:rPr>
        <w:t>Artykuły Konwencji kluczowe dla administracji publicznej (m.in. dostępność, równość przed prawem, niezależne życie, edukacja, praca).</w:t>
      </w:r>
    </w:p>
    <w:p w:rsidR="00D81940" w:rsidRPr="00D81940" w:rsidRDefault="00D81940" w:rsidP="00D81940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D81940">
        <w:rPr>
          <w:rFonts w:asciiTheme="minorHAnsi" w:hAnsiTheme="minorHAnsi" w:cstheme="minorHAnsi"/>
        </w:rPr>
        <w:t>Dobre praktyki stosowania Konwencji w urzędach.</w:t>
      </w:r>
    </w:p>
    <w:p w:rsidR="00D81940" w:rsidRDefault="00D81940" w:rsidP="00D81940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D81940">
        <w:rPr>
          <w:rFonts w:asciiTheme="minorHAnsi" w:hAnsiTheme="minorHAnsi" w:cstheme="minorHAnsi"/>
        </w:rPr>
        <w:t>Studium przypadku – analiza konkretnych sytuacji.</w:t>
      </w:r>
    </w:p>
    <w:p w:rsidR="00C70F84" w:rsidRPr="00D81940" w:rsidRDefault="00C70F84" w:rsidP="00C70F84">
      <w:pPr>
        <w:spacing w:line="276" w:lineRule="auto"/>
        <w:ind w:left="1778"/>
        <w:rPr>
          <w:rFonts w:asciiTheme="minorHAnsi" w:hAnsiTheme="minorHAnsi" w:cstheme="minorHAnsi"/>
        </w:rPr>
      </w:pPr>
    </w:p>
    <w:p w:rsidR="00D81940" w:rsidRDefault="00C52763" w:rsidP="00C52763">
      <w:pPr>
        <w:spacing w:line="276" w:lineRule="auto"/>
        <w:rPr>
          <w:rFonts w:asciiTheme="minorHAnsi" w:hAnsiTheme="minorHAnsi" w:cstheme="minorHAnsi"/>
          <w:b/>
        </w:rPr>
      </w:pPr>
      <w:r w:rsidRPr="00C70F84">
        <w:rPr>
          <w:rFonts w:asciiTheme="minorHAnsi" w:hAnsiTheme="minorHAnsi" w:cstheme="minorHAnsi"/>
          <w:b/>
        </w:rPr>
        <w:t>1</w:t>
      </w:r>
      <w:r w:rsidR="00F578D3">
        <w:rPr>
          <w:rFonts w:asciiTheme="minorHAnsi" w:hAnsiTheme="minorHAnsi" w:cstheme="minorHAnsi"/>
          <w:b/>
        </w:rPr>
        <w:t>3</w:t>
      </w:r>
      <w:r w:rsidRPr="00C70F84">
        <w:rPr>
          <w:rFonts w:asciiTheme="minorHAnsi" w:hAnsiTheme="minorHAnsi" w:cstheme="minorHAnsi"/>
          <w:b/>
        </w:rPr>
        <w:t>:00 – 1</w:t>
      </w:r>
      <w:r w:rsidR="00F578D3">
        <w:rPr>
          <w:rFonts w:asciiTheme="minorHAnsi" w:hAnsiTheme="minorHAnsi" w:cstheme="minorHAnsi"/>
          <w:b/>
        </w:rPr>
        <w:t>3</w:t>
      </w:r>
      <w:r w:rsidRPr="00C70F84">
        <w:rPr>
          <w:rFonts w:asciiTheme="minorHAnsi" w:hAnsiTheme="minorHAnsi" w:cstheme="minorHAnsi"/>
          <w:b/>
        </w:rPr>
        <w:t xml:space="preserve">:30 Przerwa </w:t>
      </w:r>
      <w:r w:rsidR="00345BEA">
        <w:rPr>
          <w:rFonts w:asciiTheme="minorHAnsi" w:hAnsiTheme="minorHAnsi" w:cstheme="minorHAnsi"/>
          <w:b/>
        </w:rPr>
        <w:t>kawowa</w:t>
      </w:r>
    </w:p>
    <w:p w:rsidR="00C70F84" w:rsidRDefault="00C70F84" w:rsidP="00C52763">
      <w:pPr>
        <w:spacing w:line="276" w:lineRule="auto"/>
        <w:rPr>
          <w:rFonts w:asciiTheme="minorHAnsi" w:hAnsiTheme="minorHAnsi" w:cstheme="minorHAnsi"/>
          <w:b/>
        </w:rPr>
      </w:pPr>
    </w:p>
    <w:p w:rsidR="00C70F84" w:rsidRDefault="00C70F84" w:rsidP="00C52763">
      <w:pPr>
        <w:spacing w:line="276" w:lineRule="auto"/>
        <w:rPr>
          <w:rFonts w:asciiTheme="minorHAnsi" w:hAnsiTheme="minorHAnsi" w:cstheme="minorHAnsi"/>
          <w:b/>
        </w:rPr>
      </w:pPr>
    </w:p>
    <w:p w:rsidR="00C70F84" w:rsidRPr="00C70F84" w:rsidRDefault="00C70F84" w:rsidP="00C52763">
      <w:pPr>
        <w:spacing w:line="276" w:lineRule="auto"/>
        <w:rPr>
          <w:rFonts w:asciiTheme="minorHAnsi" w:hAnsiTheme="minorHAnsi" w:cstheme="minorHAnsi"/>
          <w:b/>
        </w:rPr>
      </w:pPr>
    </w:p>
    <w:p w:rsidR="00D81940" w:rsidRDefault="00D81940" w:rsidP="00D81940">
      <w:pPr>
        <w:ind w:left="720"/>
        <w:rPr>
          <w:sz w:val="22"/>
          <w:szCs w:val="22"/>
        </w:rPr>
      </w:pPr>
    </w:p>
    <w:p w:rsidR="00C70F84" w:rsidRPr="00DD55EC" w:rsidRDefault="00C70F84" w:rsidP="00D81940">
      <w:pPr>
        <w:ind w:left="720"/>
        <w:rPr>
          <w:sz w:val="22"/>
          <w:szCs w:val="22"/>
        </w:rPr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205C87" w:rsidRDefault="009A0C80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</w:r>
      <w:r w:rsidR="00E342A7" w:rsidRPr="005D621C">
        <w:rPr>
          <w:rFonts w:ascii="Calibri" w:eastAsia="Calibri" w:hAnsi="Calibri" w:cs="Calibri"/>
          <w:b/>
          <w:bCs/>
        </w:rPr>
        <w:t xml:space="preserve">            </w:t>
      </w:r>
    </w:p>
    <w:p w:rsidR="00AB1FEA" w:rsidRPr="00AB1FEA" w:rsidRDefault="00AB1FEA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</w:rPr>
      </w:pPr>
    </w:p>
    <w:p w:rsidR="00302347" w:rsidRDefault="009A0C80" w:rsidP="00230DA3">
      <w:pPr>
        <w:pStyle w:val="Bezodstpw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9A0C80" w:rsidRDefault="009A0C80">
      <w:pPr>
        <w:pStyle w:val="Bezodstpw"/>
        <w:spacing w:line="312" w:lineRule="auto"/>
        <w:ind w:left="2127"/>
        <w:rPr>
          <w:rFonts w:asciiTheme="minorHAnsi" w:hAnsiTheme="minorHAnsi" w:cstheme="minorHAnsi"/>
          <w:b/>
        </w:rPr>
      </w:pPr>
    </w:p>
    <w:p w:rsidR="00F10950" w:rsidRPr="00D81940" w:rsidRDefault="005876C3" w:rsidP="00D81940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 xml:space="preserve">  </w:t>
      </w:r>
      <w:r w:rsidR="009A0C80">
        <w:rPr>
          <w:rFonts w:asciiTheme="minorHAnsi" w:hAnsiTheme="minorHAnsi" w:cstheme="minorHAnsi"/>
          <w:b/>
        </w:rPr>
        <w:tab/>
      </w:r>
    </w:p>
    <w:p w:rsidR="00D81940" w:rsidRPr="00DD55EC" w:rsidRDefault="00D81940" w:rsidP="00D81940">
      <w:pPr>
        <w:spacing w:line="276" w:lineRule="auto"/>
        <w:contextualSpacing/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C52763" w:rsidRDefault="00C52763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9C00D6" w:rsidRDefault="009C00D6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9C00D6" w:rsidRDefault="009C00D6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9C00D6" w:rsidRDefault="009C00D6" w:rsidP="00D81940">
      <w:pPr>
        <w:outlineLvl w:val="0"/>
        <w:rPr>
          <w:rFonts w:asciiTheme="minorHAnsi" w:hAnsiTheme="minorHAnsi" w:cstheme="minorHAnsi"/>
        </w:rPr>
      </w:pPr>
    </w:p>
    <w:p w:rsidR="009C00D6" w:rsidRDefault="009C00D6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9C00D6" w:rsidRPr="00DD55EC" w:rsidRDefault="009C00D6" w:rsidP="009B7525">
      <w:pPr>
        <w:outlineLvl w:val="0"/>
        <w:rPr>
          <w:sz w:val="22"/>
          <w:szCs w:val="22"/>
        </w:rPr>
      </w:pPr>
    </w:p>
    <w:p w:rsidR="009C00D6" w:rsidRPr="009C00D6" w:rsidRDefault="009C00D6" w:rsidP="009C00D6">
      <w:pPr>
        <w:spacing w:line="276" w:lineRule="auto"/>
        <w:ind w:left="360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B7525" w:rsidRDefault="009B7525" w:rsidP="009B7525">
      <w:pPr>
        <w:spacing w:line="276" w:lineRule="auto"/>
        <w:rPr>
          <w:b/>
          <w:bCs/>
          <w:sz w:val="22"/>
          <w:szCs w:val="22"/>
        </w:rPr>
      </w:pPr>
    </w:p>
    <w:p w:rsidR="009C00D6" w:rsidRPr="00DD55EC" w:rsidRDefault="009B7525" w:rsidP="009B7525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578D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:30 – 1</w:t>
      </w:r>
      <w:r w:rsidR="00F578D3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:30 </w:t>
      </w:r>
      <w:r w:rsidR="009C00D6">
        <w:rPr>
          <w:b/>
          <w:bCs/>
          <w:sz w:val="22"/>
          <w:szCs w:val="22"/>
        </w:rPr>
        <w:t xml:space="preserve">Moduł 4: </w:t>
      </w:r>
      <w:r w:rsidR="009C00D6" w:rsidRPr="00DD55EC">
        <w:rPr>
          <w:b/>
          <w:bCs/>
          <w:sz w:val="22"/>
          <w:szCs w:val="22"/>
        </w:rPr>
        <w:t>Dostępność w praktyce</w:t>
      </w:r>
      <w:r>
        <w:rPr>
          <w:b/>
          <w:bCs/>
          <w:sz w:val="22"/>
          <w:szCs w:val="22"/>
        </w:rPr>
        <w:t>: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Definicja dostępności i jej znaczenie dla samorządu.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Dostępność architektoniczna, cyfrowa, komunikacyjna i organizacyjna.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Standardy dostępności dla urzędów – ustawa o zapewnianiu dostępności osobom ze szczególnymi potrzebami.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 xml:space="preserve">Obowiązki urzędów w zakresie zapewnienia dostępności. 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Przegląd dobrych praktyk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Sposoby komunikacji z osobami z różnymi rodzajami niepełnosprawności</w:t>
      </w:r>
    </w:p>
    <w:p w:rsidR="009C00D6" w:rsidRPr="009B7525" w:rsidRDefault="009C00D6" w:rsidP="009B752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Ćwiczenia praktyczne</w:t>
      </w:r>
    </w:p>
    <w:p w:rsidR="009C00D6" w:rsidRDefault="009C00D6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9C00D6" w:rsidRDefault="009C00D6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9B7525" w:rsidRDefault="009B7525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578D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:30 – 1</w:t>
      </w:r>
      <w:r w:rsidR="00F578D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:45 Przerwa </w:t>
      </w:r>
      <w:r w:rsidR="00345BEA">
        <w:rPr>
          <w:rFonts w:asciiTheme="minorHAnsi" w:hAnsiTheme="minorHAnsi" w:cstheme="minorHAnsi"/>
          <w:b/>
          <w:bCs/>
        </w:rPr>
        <w:t>kawowa</w:t>
      </w:r>
    </w:p>
    <w:p w:rsidR="009B7525" w:rsidRDefault="009B7525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D81940" w:rsidRPr="00D81940" w:rsidRDefault="009B7525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578D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:45 – 1</w:t>
      </w:r>
      <w:r w:rsidR="00F578D3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:30 </w:t>
      </w:r>
      <w:r w:rsidR="00D81940" w:rsidRPr="00D81940">
        <w:rPr>
          <w:rFonts w:asciiTheme="minorHAnsi" w:hAnsiTheme="minorHAnsi" w:cstheme="minorHAnsi"/>
          <w:b/>
          <w:bCs/>
        </w:rPr>
        <w:t>Moduł 5: Warsztaty praktyczne</w:t>
      </w:r>
    </w:p>
    <w:p w:rsidR="00D81940" w:rsidRPr="009B7525" w:rsidRDefault="00D81940" w:rsidP="009B7525">
      <w:pPr>
        <w:pStyle w:val="Akapitzlist"/>
        <w:numPr>
          <w:ilvl w:val="0"/>
          <w:numId w:val="23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Analiza i ocena zgodności z zasadami horyzontalnymi</w:t>
      </w:r>
    </w:p>
    <w:p w:rsidR="00D81940" w:rsidRPr="009B7525" w:rsidRDefault="00D81940" w:rsidP="00D81940">
      <w:pPr>
        <w:pStyle w:val="Akapitzlist"/>
        <w:numPr>
          <w:ilvl w:val="0"/>
          <w:numId w:val="23"/>
        </w:num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B7525">
        <w:rPr>
          <w:rFonts w:asciiTheme="minorHAnsi" w:hAnsiTheme="minorHAnsi" w:cstheme="minorHAnsi"/>
          <w:sz w:val="24"/>
          <w:szCs w:val="24"/>
        </w:rPr>
        <w:t>Wnioski i rekomendacje</w:t>
      </w:r>
    </w:p>
    <w:p w:rsidR="00D81940" w:rsidRDefault="00D81940" w:rsidP="00D81940">
      <w:pPr>
        <w:outlineLvl w:val="0"/>
        <w:rPr>
          <w:b/>
          <w:bCs/>
          <w:sz w:val="22"/>
          <w:szCs w:val="22"/>
        </w:rPr>
      </w:pPr>
    </w:p>
    <w:p w:rsidR="00D81940" w:rsidRPr="00D81940" w:rsidRDefault="00D81940" w:rsidP="00D81940">
      <w:pPr>
        <w:outlineLvl w:val="0"/>
        <w:rPr>
          <w:rFonts w:asciiTheme="minorHAnsi" w:hAnsiTheme="minorHAnsi" w:cstheme="minorHAnsi"/>
          <w:b/>
          <w:bCs/>
        </w:rPr>
      </w:pPr>
    </w:p>
    <w:p w:rsidR="00D81940" w:rsidRPr="00D81940" w:rsidRDefault="009B7525" w:rsidP="00D81940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578D3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: 30 – 1</w:t>
      </w:r>
      <w:r w:rsidR="00F578D3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:00 </w:t>
      </w:r>
      <w:r w:rsidR="00D81940" w:rsidRPr="00D81940">
        <w:rPr>
          <w:rFonts w:asciiTheme="minorHAnsi" w:hAnsiTheme="minorHAnsi" w:cstheme="minorHAnsi"/>
          <w:b/>
          <w:bCs/>
        </w:rPr>
        <w:t xml:space="preserve">Moduł 6: Podsumowanie i sesja pytań </w:t>
      </w:r>
    </w:p>
    <w:p w:rsidR="00D81940" w:rsidRPr="00D81940" w:rsidRDefault="00D81940" w:rsidP="00D81940">
      <w:pPr>
        <w:spacing w:before="240" w:after="720"/>
        <w:rPr>
          <w:rFonts w:ascii="Calibri" w:hAnsi="Calibri" w:cs="Calibri"/>
          <w:b/>
          <w:bCs/>
        </w:rPr>
      </w:pPr>
      <w:r w:rsidRPr="00DD55E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</w:t>
      </w:r>
    </w:p>
    <w:p w:rsidR="00F10950" w:rsidRDefault="00F10950" w:rsidP="00F10950">
      <w:pPr>
        <w:pStyle w:val="NormalnyWeb"/>
        <w:shd w:val="clear" w:color="auto" w:fill="FFFFFF"/>
        <w:spacing w:before="0" w:beforeAutospacing="0" w:after="0" w:afterAutospacing="0" w:line="312" w:lineRule="auto"/>
        <w:ind w:left="2484"/>
        <w:rPr>
          <w:rFonts w:asciiTheme="minorHAnsi" w:hAnsiTheme="minorHAnsi" w:cstheme="minorHAnsi"/>
          <w:b/>
        </w:rPr>
      </w:pPr>
    </w:p>
    <w:p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:rsidR="008B3D1D" w:rsidRP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</w:rPr>
        <w:t xml:space="preserve">                      </w:t>
      </w:r>
    </w:p>
    <w:p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6E8" w:rsidRDefault="002B66E8">
      <w:r>
        <w:separator/>
      </w:r>
    </w:p>
  </w:endnote>
  <w:endnote w:type="continuationSeparator" w:id="0">
    <w:p w:rsidR="002B66E8" w:rsidRDefault="002B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9B7525" w:rsidP="001A45F1">
    <w:pPr>
      <w:pStyle w:val="Stopka"/>
      <w:ind w:right="282"/>
    </w:pPr>
    <w:r>
      <w:rPr>
        <w:noProof/>
      </w:rPr>
      <w:drawing>
        <wp:inline distT="0" distB="0" distL="0" distR="0" wp14:anchorId="11154B02" wp14:editId="78EB5321">
          <wp:extent cx="6840220" cy="4419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6E8" w:rsidRDefault="002B66E8">
      <w:r>
        <w:separator/>
      </w:r>
    </w:p>
  </w:footnote>
  <w:footnote w:type="continuationSeparator" w:id="0">
    <w:p w:rsidR="002B66E8" w:rsidRDefault="002B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C52763" w:rsidP="008079F9">
    <w:pPr>
      <w:pStyle w:val="Nagwek"/>
      <w:ind w:left="-709"/>
    </w:pPr>
    <w:r>
      <w:rPr>
        <w:noProof/>
      </w:rPr>
      <w:drawing>
        <wp:inline distT="0" distB="0" distL="0" distR="0" wp14:anchorId="778E66EC" wp14:editId="2D0F5589">
          <wp:extent cx="6591300" cy="895202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6085"/>
    <w:multiLevelType w:val="multilevel"/>
    <w:tmpl w:val="4C9EB36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6B43"/>
    <w:multiLevelType w:val="multilevel"/>
    <w:tmpl w:val="53A2DAD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E023E"/>
    <w:multiLevelType w:val="hybridMultilevel"/>
    <w:tmpl w:val="7E2CFE16"/>
    <w:lvl w:ilvl="0" w:tplc="0415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6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98B38E7"/>
    <w:multiLevelType w:val="multilevel"/>
    <w:tmpl w:val="4F3C0DA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43604DA"/>
    <w:multiLevelType w:val="hybridMultilevel"/>
    <w:tmpl w:val="BA30316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9156030"/>
    <w:multiLevelType w:val="hybridMultilevel"/>
    <w:tmpl w:val="D0E69CA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9464BE0"/>
    <w:multiLevelType w:val="multilevel"/>
    <w:tmpl w:val="22BCFC4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19"/>
  </w:num>
  <w:num w:numId="5">
    <w:abstractNumId w:val="14"/>
  </w:num>
  <w:num w:numId="6">
    <w:abstractNumId w:val="5"/>
  </w:num>
  <w:num w:numId="7">
    <w:abstractNumId w:val="1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7"/>
  </w:num>
  <w:num w:numId="15">
    <w:abstractNumId w:val="13"/>
  </w:num>
  <w:num w:numId="16">
    <w:abstractNumId w:val="20"/>
  </w:num>
  <w:num w:numId="17">
    <w:abstractNumId w:val="11"/>
  </w:num>
  <w:num w:numId="18">
    <w:abstractNumId w:val="9"/>
  </w:num>
  <w:num w:numId="19">
    <w:abstractNumId w:val="24"/>
  </w:num>
  <w:num w:numId="20">
    <w:abstractNumId w:val="18"/>
  </w:num>
  <w:num w:numId="21">
    <w:abstractNumId w:val="23"/>
  </w:num>
  <w:num w:numId="22">
    <w:abstractNumId w:val="3"/>
  </w:num>
  <w:num w:numId="23">
    <w:abstractNumId w:val="0"/>
  </w:num>
  <w:num w:numId="24">
    <w:abstractNumId w:val="21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7361B388-8987-47CD-81CD-FAA1FBDBEF47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02B8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23E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B66E8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45BEA"/>
    <w:rsid w:val="003532E7"/>
    <w:rsid w:val="0035482A"/>
    <w:rsid w:val="003619F2"/>
    <w:rsid w:val="00362E0F"/>
    <w:rsid w:val="00365820"/>
    <w:rsid w:val="0039077A"/>
    <w:rsid w:val="00394E42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318B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134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4B0B"/>
    <w:rsid w:val="006E6B78"/>
    <w:rsid w:val="006F209E"/>
    <w:rsid w:val="00700B79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2FEA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B7525"/>
    <w:rsid w:val="009C00D6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35E72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2763"/>
    <w:rsid w:val="00C54955"/>
    <w:rsid w:val="00C57161"/>
    <w:rsid w:val="00C57298"/>
    <w:rsid w:val="00C62C24"/>
    <w:rsid w:val="00C635B6"/>
    <w:rsid w:val="00C70F84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1C9"/>
    <w:rsid w:val="00D62E7F"/>
    <w:rsid w:val="00D64B07"/>
    <w:rsid w:val="00D81940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0950"/>
    <w:rsid w:val="00F3254E"/>
    <w:rsid w:val="00F371F1"/>
    <w:rsid w:val="00F43498"/>
    <w:rsid w:val="00F52505"/>
    <w:rsid w:val="00F545A3"/>
    <w:rsid w:val="00F55A44"/>
    <w:rsid w:val="00F578D3"/>
    <w:rsid w:val="00F612DD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4BBBC2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6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61B388-8987-47CD-81CD-FAA1FBDBEF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Tarwacka Katarzyna</cp:lastModifiedBy>
  <cp:revision>6</cp:revision>
  <cp:lastPrinted>2023-07-24T08:43:00Z</cp:lastPrinted>
  <dcterms:created xsi:type="dcterms:W3CDTF">2025-07-30T09:16:00Z</dcterms:created>
  <dcterms:modified xsi:type="dcterms:W3CDTF">2025-11-04T07:32:00Z</dcterms:modified>
</cp:coreProperties>
</file>