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FB193" w14:textId="2B92759D" w:rsidR="00890E1D" w:rsidRPr="00312C71" w:rsidRDefault="00890E1D" w:rsidP="00890E1D">
      <w:pPr>
        <w:spacing w:line="360" w:lineRule="auto"/>
        <w:jc w:val="center"/>
        <w:rPr>
          <w:b/>
          <w:sz w:val="24"/>
          <w:szCs w:val="24"/>
        </w:rPr>
      </w:pPr>
      <w:r w:rsidRPr="00312C71">
        <w:rPr>
          <w:b/>
          <w:sz w:val="24"/>
          <w:szCs w:val="24"/>
        </w:rPr>
        <w:t>Nabór nr FEPM.05.0</w:t>
      </w:r>
      <w:r>
        <w:rPr>
          <w:b/>
          <w:sz w:val="24"/>
          <w:szCs w:val="24"/>
        </w:rPr>
        <w:t>7</w:t>
      </w:r>
      <w:r w:rsidRPr="00312C71">
        <w:rPr>
          <w:b/>
          <w:sz w:val="24"/>
          <w:szCs w:val="24"/>
        </w:rPr>
        <w:t>-IZ.00-001/2</w:t>
      </w:r>
      <w:r>
        <w:rPr>
          <w:b/>
          <w:sz w:val="24"/>
          <w:szCs w:val="24"/>
        </w:rPr>
        <w:t>5</w:t>
      </w:r>
    </w:p>
    <w:p w14:paraId="54BC2540" w14:textId="77777777" w:rsidR="00890E1D" w:rsidRPr="00312C71" w:rsidRDefault="00890E1D" w:rsidP="00890E1D">
      <w:pPr>
        <w:shd w:val="clear" w:color="auto" w:fill="FFFFFF"/>
        <w:spacing w:after="100" w:afterAutospacing="1" w:line="360" w:lineRule="auto"/>
        <w:outlineLvl w:val="2"/>
        <w:rPr>
          <w:rFonts w:eastAsia="Times New Roman" w:cstheme="minorHAnsi"/>
          <w:color w:val="212529"/>
          <w:sz w:val="24"/>
          <w:szCs w:val="24"/>
          <w:lang w:eastAsia="pl-PL"/>
        </w:rPr>
      </w:pPr>
      <w:r w:rsidRPr="00312C71">
        <w:rPr>
          <w:rFonts w:eastAsia="Times New Roman" w:cstheme="minorHAnsi"/>
          <w:color w:val="212529"/>
          <w:sz w:val="24"/>
          <w:szCs w:val="24"/>
          <w:lang w:eastAsia="pl-PL"/>
        </w:rPr>
        <w:t>Pytania i odpowiedzi</w:t>
      </w:r>
    </w:p>
    <w:p w14:paraId="50EDE1B7" w14:textId="5C03CDA4" w:rsidR="00890E1D" w:rsidRPr="00312C71" w:rsidRDefault="00890E1D" w:rsidP="00890E1D">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color w:val="212529"/>
          <w:sz w:val="24"/>
          <w:szCs w:val="24"/>
          <w:lang w:eastAsia="pl-PL"/>
        </w:rPr>
        <w:t>Pytania dotyczące naboru należy kierować najpóźniej do dnia zakończenia naboru wniosków na adres poczty elektronicznej: </w:t>
      </w:r>
      <w:hyperlink r:id="rId9" w:history="1">
        <w:r w:rsidRPr="008B7FA5">
          <w:rPr>
            <w:rStyle w:val="Hipercze"/>
            <w:rFonts w:eastAsia="Times New Roman" w:cstheme="minorHAnsi"/>
            <w:sz w:val="24"/>
            <w:szCs w:val="24"/>
            <w:lang w:eastAsia="pl-PL"/>
          </w:rPr>
          <w:t>edukacja.efs@pomorskie.eu</w:t>
        </w:r>
      </w:hyperlink>
    </w:p>
    <w:p w14:paraId="50F8FEAC" w14:textId="77777777" w:rsidR="00890E1D" w:rsidRPr="00312C71" w:rsidRDefault="00890E1D" w:rsidP="00890E1D">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b/>
          <w:bCs/>
          <w:color w:val="212529"/>
          <w:sz w:val="24"/>
          <w:szCs w:val="24"/>
          <w:lang w:eastAsia="pl-PL"/>
        </w:rPr>
        <w:t>UWAGA!!!</w:t>
      </w:r>
    </w:p>
    <w:p w14:paraId="7B4EFA7A" w14:textId="77777777" w:rsidR="00890E1D" w:rsidRPr="00312C71" w:rsidRDefault="00890E1D" w:rsidP="00890E1D">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b/>
          <w:bCs/>
          <w:color w:val="212529"/>
          <w:sz w:val="24"/>
          <w:szCs w:val="24"/>
          <w:lang w:eastAsia="pl-PL"/>
        </w:rPr>
        <w:t>Każde pytanie ze strony wnioskodawcy jest rozpatrywane indywidualnie przez IZ FEP.</w:t>
      </w:r>
    </w:p>
    <w:p w14:paraId="1FEC0D0A" w14:textId="38DA8BCD" w:rsidR="00890E1D" w:rsidRPr="00312C71" w:rsidRDefault="00890E1D" w:rsidP="00890E1D">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b/>
          <w:bCs/>
          <w:color w:val="212529"/>
          <w:sz w:val="24"/>
          <w:szCs w:val="24"/>
          <w:lang w:eastAsia="pl-PL"/>
        </w:rPr>
        <w:t xml:space="preserve">W przypadku wysłania pytań w ostatnich dniach naboru należy mieć na uwadze, iż czas otrzymania odpowiedzi na zadane przez Państwa pytania może ulec wydłużeniu lub też może wiązać się </w:t>
      </w:r>
      <w:r w:rsidR="00EF0E73">
        <w:rPr>
          <w:rFonts w:eastAsia="Times New Roman" w:cstheme="minorHAnsi"/>
          <w:b/>
          <w:bCs/>
          <w:color w:val="212529"/>
          <w:sz w:val="24"/>
          <w:szCs w:val="24"/>
          <w:lang w:eastAsia="pl-PL"/>
        </w:rPr>
        <w:br/>
      </w:r>
      <w:r w:rsidRPr="00312C71">
        <w:rPr>
          <w:rFonts w:eastAsia="Times New Roman" w:cstheme="minorHAnsi"/>
          <w:b/>
          <w:bCs/>
          <w:color w:val="212529"/>
          <w:sz w:val="24"/>
          <w:szCs w:val="24"/>
          <w:lang w:eastAsia="pl-PL"/>
        </w:rPr>
        <w:t>z otrzymaniem odpowiedzi po zakończeniu naboru.</w:t>
      </w:r>
    </w:p>
    <w:p w14:paraId="7E57BF05" w14:textId="4ABD10E7" w:rsidR="00042FCE" w:rsidRPr="00340743" w:rsidRDefault="00D41DED" w:rsidP="00890E1D">
      <w:pPr>
        <w:rPr>
          <w:rFonts w:eastAsia="Times New Roman" w:cstheme="minorHAnsi"/>
          <w:b/>
          <w:sz w:val="24"/>
          <w:szCs w:val="24"/>
          <w:lang w:eastAsia="pl-PL"/>
        </w:rPr>
      </w:pPr>
      <w:r w:rsidRPr="00340743">
        <w:rPr>
          <w:rFonts w:eastAsia="Times New Roman" w:cstheme="minorHAnsi"/>
          <w:b/>
          <w:sz w:val="24"/>
          <w:szCs w:val="24"/>
          <w:lang w:eastAsia="pl-PL"/>
        </w:rPr>
        <w:t>KRYTERIA WYBORU:</w:t>
      </w:r>
    </w:p>
    <w:p w14:paraId="523E4043" w14:textId="7CE9A143" w:rsidR="00D41DED" w:rsidRPr="00730D5B" w:rsidRDefault="00D41DED" w:rsidP="00F942DF">
      <w:pPr>
        <w:pStyle w:val="Akapitzlist"/>
        <w:numPr>
          <w:ilvl w:val="0"/>
          <w:numId w:val="2"/>
        </w:numPr>
        <w:spacing w:line="276" w:lineRule="auto"/>
        <w:rPr>
          <w:szCs w:val="22"/>
        </w:rPr>
      </w:pPr>
      <w:r w:rsidRPr="00730D5B">
        <w:rPr>
          <w:szCs w:val="22"/>
        </w:rPr>
        <w:t>Czy jeżeli tworzymy w ramach projektu 10 nowych miejsc wychowania przedszkolnego to czy koszt ogółem projektu może wynieść maksymalnie 42 500zł? Chcemy zaplanować zajęcia dodatkowe dla większości dzieci w przedszkolu, chcemy zaplanować wyjazdy edukacyjne dla większości dzieci w przedszkolu, chcemy zaplanować szkolenia/studia podyplomowe dla większości nauczycieli w przedszkolu- to czy te działania muszą się zmieścić w tej kwocie 42 500zł.</w:t>
      </w:r>
    </w:p>
    <w:p w14:paraId="19E49ABF" w14:textId="2380506D" w:rsidR="00D41DED" w:rsidRPr="00D41DED" w:rsidRDefault="00D41DED" w:rsidP="00D41DED">
      <w:pPr>
        <w:spacing w:line="276" w:lineRule="auto"/>
        <w:rPr>
          <w:b/>
        </w:rPr>
      </w:pPr>
      <w:r w:rsidRPr="00D41DED">
        <w:rPr>
          <w:b/>
        </w:rPr>
        <w:t>Odpowiedź z 31.12.2025</w:t>
      </w:r>
    </w:p>
    <w:p w14:paraId="018D98F9" w14:textId="2C291057" w:rsidR="00D41DED" w:rsidRPr="00D41DED" w:rsidRDefault="00D41DED" w:rsidP="00671776">
      <w:pPr>
        <w:spacing w:after="0" w:line="276" w:lineRule="auto"/>
        <w:rPr>
          <w:rFonts w:eastAsia="Times New Roman" w:cs="Times New Roman"/>
          <w:szCs w:val="22"/>
          <w:lang w:eastAsia="pl-PL"/>
        </w:rPr>
      </w:pPr>
      <w:r w:rsidRPr="00D41DED">
        <w:rPr>
          <w:rFonts w:eastAsia="Times New Roman" w:cs="Times New Roman"/>
          <w:szCs w:val="22"/>
          <w:lang w:eastAsia="pl-PL"/>
        </w:rPr>
        <w:t>Zgodnie z pkt 2.4.1 Kryteria zgodności z FEP 2021-2027 i dokumentami programowymi – specyficzne, w zakresie kryterium zgodności ze szczegółowymi uwarunkowaniami określonymi dla naboru, sprawdzeniu podlega min. czy średni koszt jednostkowy odpowiadający utworzeniu nowego miejsca wychowania przedszkolnego określony został na poziomie maksymalnie 42,5 tys. zł wydatków ogółem projektu, zaś w treści</w:t>
      </w:r>
      <w:r>
        <w:rPr>
          <w:rFonts w:eastAsia="Times New Roman" w:cs="Times New Roman"/>
          <w:szCs w:val="22"/>
          <w:lang w:eastAsia="pl-PL"/>
        </w:rPr>
        <w:t xml:space="preserve"> </w:t>
      </w:r>
      <w:r w:rsidRPr="00D41DED">
        <w:rPr>
          <w:rFonts w:eastAsia="Times New Roman" w:cs="Times New Roman"/>
          <w:szCs w:val="22"/>
          <w:lang w:eastAsia="pl-PL"/>
        </w:rPr>
        <w:t xml:space="preserve">pkt </w:t>
      </w:r>
      <w:r w:rsidRPr="00D41DED">
        <w:rPr>
          <w:rFonts w:eastAsia="Times New Roman" w:cs="Times New Roman"/>
          <w:b/>
          <w:bCs/>
          <w:szCs w:val="22"/>
          <w:lang w:eastAsia="pl-PL"/>
        </w:rPr>
        <w:t>Ad 2.b.</w:t>
      </w:r>
      <w:r w:rsidR="00736558">
        <w:rPr>
          <w:rFonts w:eastAsia="Times New Roman" w:cs="Times New Roman"/>
          <w:b/>
          <w:bCs/>
          <w:szCs w:val="22"/>
          <w:lang w:eastAsia="pl-PL"/>
        </w:rPr>
        <w:t xml:space="preserve"> </w:t>
      </w:r>
      <w:r w:rsidRPr="00D41DED">
        <w:rPr>
          <w:rFonts w:eastAsia="Times New Roman" w:cs="Times New Roman"/>
          <w:b/>
          <w:bCs/>
          <w:szCs w:val="22"/>
          <w:lang w:eastAsia="pl-PL"/>
        </w:rPr>
        <w:t xml:space="preserve">(STRONA 25) </w:t>
      </w:r>
      <w:r w:rsidRPr="00D41DED">
        <w:rPr>
          <w:rFonts w:eastAsia="Times New Roman" w:cs="Times New Roman"/>
          <w:szCs w:val="22"/>
          <w:lang w:eastAsia="pl-PL"/>
        </w:rPr>
        <w:t>wskazano informacje w zakresie sposobu weryfikacji w/w kryterium :</w:t>
      </w:r>
    </w:p>
    <w:p w14:paraId="30324753" w14:textId="77777777" w:rsidR="00D41DED" w:rsidRPr="00D41DED" w:rsidRDefault="00D41DED" w:rsidP="00671776">
      <w:pPr>
        <w:spacing w:after="120" w:line="276" w:lineRule="auto"/>
        <w:rPr>
          <w:rFonts w:eastAsia="Times New Roman" w:cs="Times New Roman"/>
          <w:szCs w:val="22"/>
          <w:lang w:eastAsia="pl-PL"/>
        </w:rPr>
      </w:pPr>
      <w:r w:rsidRPr="00D41DED">
        <w:rPr>
          <w:rFonts w:eastAsia="Times New Roman" w:cs="Times New Roman"/>
          <w:b/>
          <w:bCs/>
          <w:szCs w:val="22"/>
          <w:lang w:eastAsia="pl-PL"/>
        </w:rPr>
        <w:t>„Weryfikacja spełnienia warunku polegać będzie na podzieleniu wydatków ogółem (100% wartości projektu) przez wartość wskaźnika produktu PLFCO10 – Liczba dofinansowanych miejsc wychowania przedszkolnego (sztuki). Iloraz nie może być większy od kwoty 42 500,00 zł</w:t>
      </w:r>
      <w:r w:rsidRPr="00D41DED">
        <w:rPr>
          <w:rFonts w:eastAsia="Times New Roman" w:cs="Times New Roman"/>
          <w:szCs w:val="22"/>
          <w:lang w:eastAsia="pl-PL"/>
        </w:rPr>
        <w:t>.”</w:t>
      </w:r>
    </w:p>
    <w:p w14:paraId="13E6FDD8" w14:textId="256025F0" w:rsidR="00D41DED" w:rsidRPr="00D41DED" w:rsidRDefault="00D41DED" w:rsidP="00671776">
      <w:pPr>
        <w:spacing w:after="0" w:line="276" w:lineRule="auto"/>
        <w:rPr>
          <w:rFonts w:eastAsia="Times New Roman" w:cs="Times New Roman"/>
          <w:szCs w:val="22"/>
          <w:lang w:eastAsia="pl-PL"/>
        </w:rPr>
      </w:pPr>
      <w:r w:rsidRPr="00D41DED">
        <w:rPr>
          <w:rFonts w:eastAsia="Times New Roman" w:cs="Times New Roman"/>
          <w:szCs w:val="22"/>
          <w:lang w:eastAsia="pl-PL"/>
        </w:rPr>
        <w:t>W związku z powyższym przy założeniu, iż wnioskodawca tworzy w ramach projektu 10 nowych miejsc wychowania przedszkolnego, koszt ogółem projektu może wynieść maksymalnie 425 000,00 zł. (słownie: czterysta dwadzieścia pięć tysięcy złotych 00/100gr) (42 500,00 zł x 10 NMP)</w:t>
      </w:r>
      <w:r w:rsidR="00F60C36">
        <w:rPr>
          <w:rFonts w:eastAsia="Times New Roman" w:cs="Times New Roman"/>
          <w:szCs w:val="22"/>
          <w:lang w:eastAsia="pl-PL"/>
        </w:rPr>
        <w:t>.</w:t>
      </w:r>
    </w:p>
    <w:p w14:paraId="1FA4F969" w14:textId="77777777" w:rsidR="00D41DED" w:rsidRPr="00D41DED" w:rsidRDefault="00D41DED" w:rsidP="00671776">
      <w:pPr>
        <w:spacing w:after="0" w:line="276" w:lineRule="auto"/>
        <w:rPr>
          <w:rFonts w:eastAsia="Times New Roman" w:cs="Times New Roman"/>
          <w:szCs w:val="22"/>
          <w:lang w:eastAsia="pl-PL"/>
        </w:rPr>
      </w:pPr>
    </w:p>
    <w:p w14:paraId="0C9A28A9" w14:textId="5E9F56C7" w:rsidR="00D41DED" w:rsidRDefault="00D41DED" w:rsidP="00671776">
      <w:pPr>
        <w:spacing w:line="276" w:lineRule="auto"/>
        <w:rPr>
          <w:rFonts w:eastAsia="Times New Roman" w:cs="Times New Roman"/>
          <w:szCs w:val="22"/>
          <w:lang w:eastAsia="pl-PL"/>
        </w:rPr>
      </w:pPr>
      <w:r w:rsidRPr="00D41DED">
        <w:rPr>
          <w:rFonts w:eastAsia="Times New Roman" w:cs="Times New Roman"/>
          <w:szCs w:val="22"/>
          <w:lang w:eastAsia="pl-PL"/>
        </w:rPr>
        <w:t>Ponadto należy mieć także na uwadze, że zgodnie z Regulaminem, w ramach przedmiotowego naboru wartość wydatków w ramach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nie może stanowić więcej niż 40% wartości projektu ogółem. Do limitu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wlicza się sumę kosztów bezpośrednich, oznaczonych w budżecie projektu jako wydatki objęte limitem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oraz naliczone od nich koszty pośrednie, zgodnie z właściwą stawką ryczałtową. W ramach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nie będą kwalifikowalne wydatki związane z budową.</w:t>
      </w:r>
    </w:p>
    <w:p w14:paraId="21D106C2" w14:textId="6AFCFA9E" w:rsidR="003773A5" w:rsidRDefault="003773A5" w:rsidP="00671776">
      <w:pPr>
        <w:spacing w:line="276" w:lineRule="auto"/>
      </w:pPr>
    </w:p>
    <w:p w14:paraId="0B14E5EF" w14:textId="77777777" w:rsidR="00F942DF" w:rsidRDefault="00F942DF" w:rsidP="003773A5">
      <w:pPr>
        <w:spacing w:after="0" w:line="240" w:lineRule="auto"/>
        <w:rPr>
          <w:rFonts w:eastAsia="Times New Roman" w:cstheme="minorHAnsi"/>
          <w:b/>
          <w:sz w:val="24"/>
          <w:szCs w:val="24"/>
          <w:lang w:eastAsia="pl-PL"/>
        </w:rPr>
      </w:pPr>
    </w:p>
    <w:p w14:paraId="3F037163" w14:textId="77777777" w:rsidR="00F942DF" w:rsidRDefault="00F942DF" w:rsidP="003773A5">
      <w:pPr>
        <w:spacing w:after="0" w:line="240" w:lineRule="auto"/>
        <w:rPr>
          <w:rFonts w:eastAsia="Times New Roman" w:cstheme="minorHAnsi"/>
          <w:b/>
          <w:sz w:val="24"/>
          <w:szCs w:val="24"/>
          <w:lang w:eastAsia="pl-PL"/>
        </w:rPr>
      </w:pPr>
      <w:r>
        <w:rPr>
          <w:rFonts w:eastAsia="Times New Roman" w:cstheme="minorHAnsi"/>
          <w:b/>
          <w:sz w:val="24"/>
          <w:szCs w:val="24"/>
          <w:lang w:eastAsia="pl-PL"/>
        </w:rPr>
        <w:br/>
      </w:r>
      <w:r>
        <w:rPr>
          <w:rFonts w:eastAsia="Times New Roman" w:cstheme="minorHAnsi"/>
          <w:b/>
          <w:sz w:val="24"/>
          <w:szCs w:val="24"/>
          <w:lang w:eastAsia="pl-PL"/>
        </w:rPr>
        <w:br/>
      </w:r>
    </w:p>
    <w:p w14:paraId="280EF7B7" w14:textId="27A41066" w:rsidR="003773A5" w:rsidRDefault="00F942DF" w:rsidP="003773A5">
      <w:pPr>
        <w:spacing w:after="0" w:line="240" w:lineRule="auto"/>
        <w:rPr>
          <w:rFonts w:eastAsia="Times New Roman" w:cstheme="minorHAnsi"/>
          <w:b/>
          <w:sz w:val="24"/>
          <w:szCs w:val="24"/>
          <w:lang w:eastAsia="pl-PL"/>
        </w:rPr>
      </w:pPr>
      <w:r>
        <w:rPr>
          <w:rFonts w:eastAsia="Times New Roman" w:cstheme="minorHAnsi"/>
          <w:b/>
          <w:sz w:val="24"/>
          <w:szCs w:val="24"/>
          <w:lang w:eastAsia="pl-PL"/>
        </w:rPr>
        <w:lastRenderedPageBreak/>
        <w:t>KWALIFIKOWALNOŚĆ WYDATKÓW</w:t>
      </w:r>
      <w:r w:rsidR="003773A5" w:rsidRPr="00340743">
        <w:rPr>
          <w:rFonts w:eastAsia="Times New Roman" w:cstheme="minorHAnsi"/>
          <w:b/>
          <w:sz w:val="24"/>
          <w:szCs w:val="24"/>
          <w:lang w:eastAsia="pl-PL"/>
        </w:rPr>
        <w:t>:</w:t>
      </w:r>
    </w:p>
    <w:p w14:paraId="385CA4F3" w14:textId="77777777" w:rsidR="003773A5" w:rsidRDefault="003773A5" w:rsidP="003773A5">
      <w:pPr>
        <w:spacing w:after="0" w:line="240" w:lineRule="auto"/>
        <w:rPr>
          <w:rFonts w:eastAsia="Times New Roman" w:cs="Times New Roman"/>
          <w:szCs w:val="22"/>
          <w:lang w:eastAsia="pl-PL"/>
        </w:rPr>
      </w:pPr>
    </w:p>
    <w:p w14:paraId="34120BCC" w14:textId="5924227E" w:rsidR="003773A5" w:rsidRPr="00F942DF" w:rsidRDefault="003773A5" w:rsidP="00F942DF">
      <w:pPr>
        <w:pStyle w:val="Akapitzlist"/>
        <w:numPr>
          <w:ilvl w:val="0"/>
          <w:numId w:val="3"/>
        </w:numPr>
        <w:spacing w:after="0" w:line="240" w:lineRule="auto"/>
        <w:rPr>
          <w:rFonts w:eastAsia="Times New Roman" w:cs="Times New Roman"/>
          <w:szCs w:val="22"/>
          <w:lang w:eastAsia="pl-PL"/>
        </w:rPr>
      </w:pPr>
      <w:r w:rsidRPr="00F942DF">
        <w:rPr>
          <w:rFonts w:eastAsia="Times New Roman" w:cs="Times New Roman"/>
          <w:szCs w:val="22"/>
          <w:lang w:eastAsia="pl-PL"/>
        </w:rPr>
        <w:t>Czy jest możliwe sfinansowanie w ramach konkursu napraw</w:t>
      </w:r>
      <w:r w:rsidR="00EF0E73">
        <w:rPr>
          <w:rFonts w:eastAsia="Times New Roman" w:cs="Times New Roman"/>
          <w:szCs w:val="22"/>
          <w:lang w:eastAsia="pl-PL"/>
        </w:rPr>
        <w:t>y</w:t>
      </w:r>
      <w:r w:rsidRPr="00F942DF">
        <w:rPr>
          <w:rFonts w:eastAsia="Times New Roman" w:cs="Times New Roman"/>
          <w:szCs w:val="22"/>
          <w:lang w:eastAsia="pl-PL"/>
        </w:rPr>
        <w:t>/wymian</w:t>
      </w:r>
      <w:r w:rsidR="00EF0E73">
        <w:rPr>
          <w:rFonts w:eastAsia="Times New Roman" w:cs="Times New Roman"/>
          <w:szCs w:val="22"/>
          <w:lang w:eastAsia="pl-PL"/>
        </w:rPr>
        <w:t>y</w:t>
      </w:r>
      <w:r w:rsidRPr="00F942DF">
        <w:rPr>
          <w:rFonts w:eastAsia="Times New Roman" w:cs="Times New Roman"/>
          <w:szCs w:val="22"/>
          <w:lang w:eastAsia="pl-PL"/>
        </w:rPr>
        <w:t xml:space="preserve"> dachu w ośrodku wych</w:t>
      </w:r>
      <w:r w:rsidR="00EF0E73">
        <w:rPr>
          <w:rFonts w:eastAsia="Times New Roman" w:cs="Times New Roman"/>
          <w:szCs w:val="22"/>
          <w:lang w:eastAsia="pl-PL"/>
        </w:rPr>
        <w:t xml:space="preserve">owania </w:t>
      </w:r>
      <w:r w:rsidRPr="00F942DF">
        <w:rPr>
          <w:rFonts w:eastAsia="Times New Roman" w:cs="Times New Roman"/>
          <w:szCs w:val="22"/>
          <w:lang w:eastAsia="pl-PL"/>
        </w:rPr>
        <w:t xml:space="preserve">przedszkolnego. </w:t>
      </w:r>
    </w:p>
    <w:p w14:paraId="335B6149" w14:textId="77777777" w:rsidR="003773A5" w:rsidRPr="003773A5" w:rsidRDefault="003773A5" w:rsidP="003773A5">
      <w:pPr>
        <w:spacing w:after="0" w:line="240" w:lineRule="auto"/>
        <w:rPr>
          <w:rFonts w:eastAsia="Times New Roman" w:cs="Times New Roman"/>
          <w:szCs w:val="22"/>
          <w:lang w:eastAsia="pl-PL"/>
        </w:rPr>
      </w:pPr>
    </w:p>
    <w:p w14:paraId="53AFEEA2" w14:textId="700F941E" w:rsidR="003773A5" w:rsidRPr="003773A5" w:rsidRDefault="003773A5" w:rsidP="003773A5">
      <w:pPr>
        <w:spacing w:after="0" w:line="240" w:lineRule="auto"/>
        <w:rPr>
          <w:rFonts w:eastAsia="Times New Roman" w:cs="Times New Roman"/>
          <w:b/>
          <w:szCs w:val="22"/>
          <w:lang w:eastAsia="pl-PL"/>
        </w:rPr>
      </w:pPr>
      <w:r w:rsidRPr="003773A5">
        <w:rPr>
          <w:rFonts w:eastAsia="Times New Roman" w:cs="Times New Roman"/>
          <w:b/>
          <w:szCs w:val="22"/>
          <w:lang w:eastAsia="pl-PL"/>
        </w:rPr>
        <w:t xml:space="preserve">Odpowiedź z 08.01.2025 </w:t>
      </w:r>
    </w:p>
    <w:p w14:paraId="1F6290C6" w14:textId="77777777" w:rsidR="003773A5" w:rsidRPr="003773A5" w:rsidRDefault="003773A5" w:rsidP="003773A5">
      <w:pPr>
        <w:spacing w:after="0" w:line="240" w:lineRule="auto"/>
        <w:rPr>
          <w:rFonts w:eastAsia="Times New Roman" w:cs="Times New Roman"/>
          <w:szCs w:val="22"/>
          <w:lang w:eastAsia="pl-PL"/>
        </w:rPr>
      </w:pPr>
    </w:p>
    <w:p w14:paraId="2358C031" w14:textId="77777777" w:rsidR="003773A5" w:rsidRPr="003773A5" w:rsidRDefault="003773A5" w:rsidP="00322F05">
      <w:pPr>
        <w:spacing w:after="0" w:line="276" w:lineRule="auto"/>
        <w:rPr>
          <w:rFonts w:eastAsia="Times New Roman" w:cs="Times New Roman"/>
          <w:szCs w:val="22"/>
          <w:lang w:eastAsia="pl-PL"/>
        </w:rPr>
      </w:pPr>
      <w:r w:rsidRPr="003773A5">
        <w:rPr>
          <w:rFonts w:eastAsia="Times New Roman" w:cs="Times New Roman"/>
          <w:szCs w:val="22"/>
          <w:lang w:eastAsia="pl-PL"/>
        </w:rPr>
        <w:t xml:space="preserve">Zgodnie z  Regulaminem wyboru projektów, w ramach działań ukierunkowanych na tworzenie miejsc wychowania przedszkolnego kwalifikowalne są wydatki dotyczące adaptacji (prace remontowo-wykończeniowe) lub dostosowania budynków lub pomieszczeń, w tym m.in. dostosowanie do wymogów budowlanych, sanitarno-higienicznych. W związku z powyższym zewnętrzna naprawa/ wymiana dachu nie będzie stanowiła wydatku kwalifikowalnego w ramach projektu. Z kolei wewnętrzna ingerencja w naprawę dachu może stanowić wydatek kwalifikowalny, proporcjonalnie do liczby utworzonych miejsc wychowania przedszkolnego w danym OWP w ramach realizacji projektu. </w:t>
      </w:r>
    </w:p>
    <w:p w14:paraId="1ED1DD7D" w14:textId="622644A2" w:rsidR="003773A5" w:rsidRPr="003773A5" w:rsidRDefault="003773A5" w:rsidP="00322F05">
      <w:pPr>
        <w:spacing w:after="0" w:line="276" w:lineRule="auto"/>
        <w:rPr>
          <w:rFonts w:eastAsia="Times New Roman" w:cs="Times New Roman"/>
          <w:szCs w:val="22"/>
          <w:lang w:eastAsia="pl-PL"/>
        </w:rPr>
      </w:pPr>
      <w:r w:rsidRPr="003773A5">
        <w:rPr>
          <w:rFonts w:eastAsia="Times New Roman" w:cs="Times New Roman"/>
          <w:szCs w:val="22"/>
          <w:lang w:eastAsia="pl-PL"/>
        </w:rPr>
        <w:t>Jednocześnie przypominamy, że ocena kwalifikowalności wydatku, a więc jego racjonalności i zasadności następuje na etapie oceny projektu oraz rozliczenia wydatku w trakcie realizacji projektu.</w:t>
      </w:r>
    </w:p>
    <w:p w14:paraId="06277DCE" w14:textId="579CD9CC" w:rsidR="003773A5" w:rsidRDefault="003773A5" w:rsidP="00671776">
      <w:pPr>
        <w:spacing w:line="276" w:lineRule="auto"/>
      </w:pPr>
    </w:p>
    <w:p w14:paraId="375C5DDF" w14:textId="0A87E585" w:rsidR="002A04C5" w:rsidRDefault="002A04C5" w:rsidP="00671776">
      <w:pPr>
        <w:spacing w:line="276" w:lineRule="auto"/>
      </w:pPr>
      <w:r>
        <w:rPr>
          <w:rFonts w:eastAsia="Times New Roman" w:cstheme="minorHAnsi"/>
          <w:b/>
          <w:sz w:val="24"/>
          <w:szCs w:val="24"/>
          <w:lang w:eastAsia="pl-PL"/>
        </w:rPr>
        <w:t>DZIAŁANIA</w:t>
      </w:r>
      <w:r w:rsidRPr="00340743">
        <w:rPr>
          <w:rFonts w:eastAsia="Times New Roman" w:cstheme="minorHAnsi"/>
          <w:b/>
          <w:sz w:val="24"/>
          <w:szCs w:val="24"/>
          <w:lang w:eastAsia="pl-PL"/>
        </w:rPr>
        <w:t>:</w:t>
      </w:r>
    </w:p>
    <w:p w14:paraId="5C3D8F26" w14:textId="0D02A0AC" w:rsidR="002A04C5" w:rsidRPr="00EF1F15" w:rsidRDefault="00EF0E73" w:rsidP="002A04C5">
      <w:pPr>
        <w:pStyle w:val="Zwykytekst"/>
        <w:numPr>
          <w:ilvl w:val="0"/>
          <w:numId w:val="4"/>
        </w:numPr>
        <w:spacing w:line="276" w:lineRule="auto"/>
      </w:pPr>
      <w:r>
        <w:t>P</w:t>
      </w:r>
      <w:r w:rsidR="002A04C5" w:rsidRPr="00EF1F15">
        <w:t>ytanie dot. zapisu w regulaminie na str. 15</w:t>
      </w:r>
      <w:r w:rsidR="002A04C5">
        <w:t>:</w:t>
      </w:r>
    </w:p>
    <w:p w14:paraId="45BC1FF4" w14:textId="39B8F6FE" w:rsidR="002A04C5" w:rsidRPr="00EF1F15" w:rsidRDefault="002A04C5" w:rsidP="002A04C5">
      <w:pPr>
        <w:pStyle w:val="Zwykytekst"/>
        <w:spacing w:line="276" w:lineRule="auto"/>
      </w:pPr>
      <w:r w:rsidRPr="00EF1F15">
        <w:t>W stosunku do nowo utworzonych miejsc w ramach projektu podmiot nie może występować o dotację z budżetu gminy w okresie realizacji projektu, gdyż wydatki na finansowanie działalności bieżącej są pokrywane ze środków projektowych. Wnioskodawca może natomiast nadal uzyskiwać dotacje z budżetu gminy wobec dotychczasowej (pozostałej) liczby dzieci objętych wychowaniem przedszkolnym. Po zakończeniu finansowania projektowego możliwe jest uzyskanie dotacji także na dzieci korzystające wcześniej z miejsc przedszkolnych utworzonych z EFS+.</w:t>
      </w:r>
    </w:p>
    <w:p w14:paraId="7670C334" w14:textId="77777777" w:rsidR="002A04C5" w:rsidRDefault="002A04C5" w:rsidP="002A04C5">
      <w:pPr>
        <w:pStyle w:val="Zwykytekst"/>
        <w:spacing w:line="276" w:lineRule="auto"/>
      </w:pPr>
    </w:p>
    <w:p w14:paraId="5D22A370" w14:textId="07E850CF" w:rsidR="002A04C5" w:rsidRDefault="002A04C5" w:rsidP="006C1EE1">
      <w:pPr>
        <w:pStyle w:val="Zwykytekst"/>
        <w:spacing w:line="276" w:lineRule="auto"/>
      </w:pPr>
      <w:r w:rsidRPr="00EF1F15">
        <w:t>Czy organ prowadzący przedszkole niepubliczne może wziąć dotację z urzędu miasta na wydatki, których nie pokryje budżet projektu w odniesieniu do nowych miejsc wychowania przedszkolnego utworzonych w ramach projektu? Tym samym nie zaistnieje sytuacja podwójnego finansowania tych samych wydatków.</w:t>
      </w:r>
      <w:r>
        <w:t xml:space="preserve"> </w:t>
      </w:r>
    </w:p>
    <w:p w14:paraId="11A95184" w14:textId="77777777" w:rsidR="006C1EE1" w:rsidRDefault="006C1EE1" w:rsidP="006C1EE1">
      <w:pPr>
        <w:spacing w:after="80" w:line="276" w:lineRule="auto"/>
        <w:rPr>
          <w:b/>
          <w:szCs w:val="22"/>
        </w:rPr>
      </w:pPr>
    </w:p>
    <w:p w14:paraId="2D0C241A" w14:textId="1A0A2139" w:rsidR="002A04C5" w:rsidRPr="009C4BC5" w:rsidRDefault="002A04C5" w:rsidP="006C1EE1">
      <w:pPr>
        <w:spacing w:line="276" w:lineRule="auto"/>
        <w:rPr>
          <w:b/>
          <w:szCs w:val="22"/>
        </w:rPr>
      </w:pPr>
      <w:r w:rsidRPr="002A04C5">
        <w:rPr>
          <w:b/>
          <w:szCs w:val="22"/>
        </w:rPr>
        <w:t xml:space="preserve">Odpowiedź </w:t>
      </w:r>
      <w:r w:rsidR="006C1EE1">
        <w:rPr>
          <w:b/>
          <w:szCs w:val="22"/>
        </w:rPr>
        <w:t>z</w:t>
      </w:r>
      <w:r w:rsidRPr="002A04C5">
        <w:rPr>
          <w:b/>
          <w:szCs w:val="22"/>
        </w:rPr>
        <w:t xml:space="preserve"> 08.01.2026 </w:t>
      </w:r>
    </w:p>
    <w:p w14:paraId="1A1FB1AC" w14:textId="1FAFDFB0" w:rsidR="002A04C5" w:rsidRPr="009C4BC5" w:rsidRDefault="002A04C5" w:rsidP="002A04C5">
      <w:pPr>
        <w:spacing w:line="276" w:lineRule="auto"/>
        <w:rPr>
          <w:szCs w:val="22"/>
        </w:rPr>
      </w:pPr>
      <w:r w:rsidRPr="009C4BC5">
        <w:rPr>
          <w:szCs w:val="22"/>
        </w:rPr>
        <w:t xml:space="preserve">Wnioskodawca jest </w:t>
      </w:r>
      <w:r w:rsidRPr="009C4BC5">
        <w:rPr>
          <w:b/>
          <w:bCs/>
          <w:szCs w:val="22"/>
        </w:rPr>
        <w:t>zobligowany do podjęcia decyzji</w:t>
      </w:r>
      <w:r w:rsidRPr="009C4BC5">
        <w:rPr>
          <w:szCs w:val="22"/>
        </w:rPr>
        <w:t xml:space="preserve">, czy działalność bieżąca w stosunku do nowo utworzonych miejsc w ramach projektu będzie finansowana ze środków EFS+, czy z krajowych środków publicznych i w związku </w:t>
      </w:r>
      <w:r w:rsidR="00EF0E73">
        <w:rPr>
          <w:szCs w:val="22"/>
        </w:rPr>
        <w:br/>
      </w:r>
      <w:r w:rsidRPr="009C4BC5">
        <w:rPr>
          <w:szCs w:val="22"/>
        </w:rPr>
        <w:t>z tym jest zobowiązany do zawarcia we wniosku o dofinasowanie deklaracji w tym zakresie. W sytuacji podjęcia decyzji  finansowania działalności bieżącej</w:t>
      </w:r>
      <w:r w:rsidRPr="009C4BC5">
        <w:rPr>
          <w:b/>
          <w:bCs/>
          <w:szCs w:val="22"/>
        </w:rPr>
        <w:t xml:space="preserve"> </w:t>
      </w:r>
      <w:r w:rsidRPr="009C4BC5">
        <w:rPr>
          <w:szCs w:val="22"/>
        </w:rPr>
        <w:t xml:space="preserve">ze środków EFS+ zgodnie z pkt 2.3.1 ust. 6 Regulaminu należy  we wniosku o dofinansowanie zawrzeć oświadczenie, że działalność bieżąca w zakresie projektu nie będzie dofinansowana </w:t>
      </w:r>
      <w:r w:rsidR="00EF0E73">
        <w:rPr>
          <w:szCs w:val="22"/>
        </w:rPr>
        <w:br/>
      </w:r>
      <w:r w:rsidRPr="009C4BC5">
        <w:rPr>
          <w:szCs w:val="22"/>
        </w:rPr>
        <w:t>z krajowych środków publicznych przeznaczonych na finansowanie wychowania przedszkolnego.</w:t>
      </w:r>
    </w:p>
    <w:p w14:paraId="4CEFDE6A" w14:textId="39253715" w:rsidR="002A04C5" w:rsidRPr="009C4BC5" w:rsidRDefault="002A04C5" w:rsidP="002A04C5">
      <w:pPr>
        <w:spacing w:line="276" w:lineRule="auto"/>
        <w:rPr>
          <w:szCs w:val="22"/>
          <w14:ligatures w14:val="standardContextual"/>
        </w:rPr>
      </w:pPr>
      <w:r w:rsidRPr="009C4BC5">
        <w:rPr>
          <w:szCs w:val="22"/>
        </w:rPr>
        <w:t xml:space="preserve">Powyższy warunek jest mechanizmem zapewniającym eliminowanie podwójnego finansowania tych samych wydatków, ze środków publicznych. Jednocześnie należy mieć na uwadze, że wydatki, dotyczące bieżącego funkcjonowania stanowią katalog otwarty, a finansowanie bieżącej działalności (przez okres nie dłuższy niż </w:t>
      </w:r>
      <w:r w:rsidR="00EF0E73">
        <w:rPr>
          <w:szCs w:val="22"/>
        </w:rPr>
        <w:br/>
      </w:r>
      <w:bookmarkStart w:id="0" w:name="_GoBack"/>
      <w:bookmarkEnd w:id="0"/>
      <w:r w:rsidRPr="009C4BC5">
        <w:rPr>
          <w:szCs w:val="22"/>
        </w:rPr>
        <w:t xml:space="preserve">12 miesięcy), dotyczyć może wyłącznie nowo utworzonych miejsc. </w:t>
      </w:r>
    </w:p>
    <w:p w14:paraId="7C2CC2E4" w14:textId="77777777" w:rsidR="002A04C5" w:rsidRPr="00890E1D" w:rsidRDefault="002A04C5" w:rsidP="00671776">
      <w:pPr>
        <w:spacing w:line="276" w:lineRule="auto"/>
      </w:pPr>
    </w:p>
    <w:sectPr w:rsidR="002A04C5" w:rsidRPr="00890E1D" w:rsidSect="00C2101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C1DC8" w14:textId="77777777" w:rsidR="00C12223" w:rsidRDefault="00C12223" w:rsidP="00842964">
      <w:pPr>
        <w:spacing w:after="0" w:line="240" w:lineRule="auto"/>
      </w:pPr>
      <w:r>
        <w:separator/>
      </w:r>
    </w:p>
  </w:endnote>
  <w:endnote w:type="continuationSeparator" w:id="0">
    <w:p w14:paraId="605B1964" w14:textId="77777777" w:rsidR="00C12223" w:rsidRDefault="00C12223" w:rsidP="0084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A33F2" w14:textId="77777777" w:rsidR="00C12223" w:rsidRDefault="00C12223" w:rsidP="00842964">
      <w:pPr>
        <w:spacing w:after="0" w:line="240" w:lineRule="auto"/>
      </w:pPr>
      <w:r>
        <w:separator/>
      </w:r>
    </w:p>
  </w:footnote>
  <w:footnote w:type="continuationSeparator" w:id="0">
    <w:p w14:paraId="4F97D6F2" w14:textId="77777777" w:rsidR="00C12223" w:rsidRDefault="00C12223" w:rsidP="00842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259"/>
    <w:multiLevelType w:val="hybridMultilevel"/>
    <w:tmpl w:val="C582B100"/>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2D551D6"/>
    <w:multiLevelType w:val="hybridMultilevel"/>
    <w:tmpl w:val="F96E8A44"/>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D1A053A"/>
    <w:multiLevelType w:val="hybridMultilevel"/>
    <w:tmpl w:val="C582B100"/>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6FC14A6"/>
    <w:multiLevelType w:val="multilevel"/>
    <w:tmpl w:val="64408900"/>
    <w:styleLink w:val="Styl1"/>
    <w:lvl w:ilvl="0">
      <w:start w:val="1"/>
      <w:numFmt w:val="none"/>
      <w:lvlText w:val="%1"/>
      <w:lvlJc w:val="left"/>
      <w:pPr>
        <w:ind w:left="360" w:hanging="360"/>
      </w:pPr>
    </w:lvl>
    <w:lvl w:ilvl="1">
      <w:start w:val="1"/>
      <w:numFmt w:val="decimal"/>
      <w:lvlText w:val="%2."/>
      <w:lvlJc w:val="left"/>
      <w:pPr>
        <w:ind w:left="709" w:hanging="340"/>
      </w:pPr>
    </w:lvl>
    <w:lvl w:ilvl="2">
      <w:start w:val="1"/>
      <w:numFmt w:val="decimal"/>
      <w:lvlText w:val="%2.%3"/>
      <w:lvlJc w:val="left"/>
      <w:pPr>
        <w:ind w:left="1134" w:hanging="425"/>
      </w:pPr>
    </w:lvl>
    <w:lvl w:ilvl="3">
      <w:start w:val="1"/>
      <w:numFmt w:val="none"/>
      <w:lvlText w:val=""/>
      <w:lvlJc w:val="left"/>
      <w:pPr>
        <w:ind w:left="1446" w:hanging="312"/>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2"/>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609BF5F6-A534-4DE8-9EDF-68FC9A34DDEF}"/>
  </w:docVars>
  <w:rsids>
    <w:rsidRoot w:val="007D5B08"/>
    <w:rsid w:val="000108E4"/>
    <w:rsid w:val="0001247D"/>
    <w:rsid w:val="000147A8"/>
    <w:rsid w:val="000254A2"/>
    <w:rsid w:val="00042FCE"/>
    <w:rsid w:val="0005028D"/>
    <w:rsid w:val="000570BD"/>
    <w:rsid w:val="00061B71"/>
    <w:rsid w:val="00074515"/>
    <w:rsid w:val="0007486D"/>
    <w:rsid w:val="0007670B"/>
    <w:rsid w:val="00083CC4"/>
    <w:rsid w:val="000A555C"/>
    <w:rsid w:val="000D1450"/>
    <w:rsid w:val="000D4007"/>
    <w:rsid w:val="000D5470"/>
    <w:rsid w:val="000F5D46"/>
    <w:rsid w:val="000F6259"/>
    <w:rsid w:val="00102433"/>
    <w:rsid w:val="00106171"/>
    <w:rsid w:val="0011058C"/>
    <w:rsid w:val="001142F7"/>
    <w:rsid w:val="00152AFA"/>
    <w:rsid w:val="00161971"/>
    <w:rsid w:val="0017112E"/>
    <w:rsid w:val="00182097"/>
    <w:rsid w:val="001B1BA6"/>
    <w:rsid w:val="001B21EC"/>
    <w:rsid w:val="001B4397"/>
    <w:rsid w:val="001D3A38"/>
    <w:rsid w:val="001E0558"/>
    <w:rsid w:val="001E336D"/>
    <w:rsid w:val="001F048B"/>
    <w:rsid w:val="001F0C72"/>
    <w:rsid w:val="001F66FF"/>
    <w:rsid w:val="00206B89"/>
    <w:rsid w:val="0022585B"/>
    <w:rsid w:val="002407A8"/>
    <w:rsid w:val="002472E4"/>
    <w:rsid w:val="00252803"/>
    <w:rsid w:val="0026701F"/>
    <w:rsid w:val="00270455"/>
    <w:rsid w:val="00275093"/>
    <w:rsid w:val="00287C2C"/>
    <w:rsid w:val="002A04C5"/>
    <w:rsid w:val="002A42B2"/>
    <w:rsid w:val="002C2082"/>
    <w:rsid w:val="002C36AA"/>
    <w:rsid w:val="002C6326"/>
    <w:rsid w:val="002D2A1F"/>
    <w:rsid w:val="002D75B9"/>
    <w:rsid w:val="002E237D"/>
    <w:rsid w:val="002E2551"/>
    <w:rsid w:val="002E34A6"/>
    <w:rsid w:val="002F06D6"/>
    <w:rsid w:val="002F3C0E"/>
    <w:rsid w:val="00314F9D"/>
    <w:rsid w:val="003177F5"/>
    <w:rsid w:val="00322F05"/>
    <w:rsid w:val="00340743"/>
    <w:rsid w:val="00361F8D"/>
    <w:rsid w:val="003773A5"/>
    <w:rsid w:val="003776F1"/>
    <w:rsid w:val="0038308D"/>
    <w:rsid w:val="003A38E2"/>
    <w:rsid w:val="003B23A2"/>
    <w:rsid w:val="003D5105"/>
    <w:rsid w:val="003D6AD7"/>
    <w:rsid w:val="003F1A8C"/>
    <w:rsid w:val="00406B6A"/>
    <w:rsid w:val="00407D63"/>
    <w:rsid w:val="00416E2C"/>
    <w:rsid w:val="00433317"/>
    <w:rsid w:val="004343D1"/>
    <w:rsid w:val="00462710"/>
    <w:rsid w:val="00467B7D"/>
    <w:rsid w:val="00472EF4"/>
    <w:rsid w:val="00482F90"/>
    <w:rsid w:val="004851AC"/>
    <w:rsid w:val="00486763"/>
    <w:rsid w:val="004A6B41"/>
    <w:rsid w:val="004A7E2C"/>
    <w:rsid w:val="004B3014"/>
    <w:rsid w:val="004C41E2"/>
    <w:rsid w:val="004D7564"/>
    <w:rsid w:val="004E643F"/>
    <w:rsid w:val="005165E1"/>
    <w:rsid w:val="005202CB"/>
    <w:rsid w:val="005247C7"/>
    <w:rsid w:val="00534D4B"/>
    <w:rsid w:val="00541F2B"/>
    <w:rsid w:val="0054334C"/>
    <w:rsid w:val="00564C6E"/>
    <w:rsid w:val="0057507E"/>
    <w:rsid w:val="00582D47"/>
    <w:rsid w:val="005862BD"/>
    <w:rsid w:val="00596D9B"/>
    <w:rsid w:val="005A062F"/>
    <w:rsid w:val="005B2CF0"/>
    <w:rsid w:val="005C535B"/>
    <w:rsid w:val="005D0556"/>
    <w:rsid w:val="005D7775"/>
    <w:rsid w:val="005D7E67"/>
    <w:rsid w:val="005E265B"/>
    <w:rsid w:val="005F7C09"/>
    <w:rsid w:val="00606D6C"/>
    <w:rsid w:val="00632923"/>
    <w:rsid w:val="00633E5C"/>
    <w:rsid w:val="00635716"/>
    <w:rsid w:val="00640877"/>
    <w:rsid w:val="0064272F"/>
    <w:rsid w:val="00643B6D"/>
    <w:rsid w:val="0065508B"/>
    <w:rsid w:val="00664BBD"/>
    <w:rsid w:val="00665241"/>
    <w:rsid w:val="00671776"/>
    <w:rsid w:val="00672C79"/>
    <w:rsid w:val="00674B1B"/>
    <w:rsid w:val="00685B15"/>
    <w:rsid w:val="0068639D"/>
    <w:rsid w:val="006927F4"/>
    <w:rsid w:val="006A2822"/>
    <w:rsid w:val="006A6346"/>
    <w:rsid w:val="006B3EDD"/>
    <w:rsid w:val="006B77FE"/>
    <w:rsid w:val="006C0875"/>
    <w:rsid w:val="006C1EE1"/>
    <w:rsid w:val="006C479B"/>
    <w:rsid w:val="006D34B7"/>
    <w:rsid w:val="006E5BFF"/>
    <w:rsid w:val="0071409F"/>
    <w:rsid w:val="00720CB5"/>
    <w:rsid w:val="00730D5B"/>
    <w:rsid w:val="007310C7"/>
    <w:rsid w:val="00736558"/>
    <w:rsid w:val="00736F8E"/>
    <w:rsid w:val="00736FA8"/>
    <w:rsid w:val="007455A7"/>
    <w:rsid w:val="00756341"/>
    <w:rsid w:val="007A2B68"/>
    <w:rsid w:val="007A3BDC"/>
    <w:rsid w:val="007B07EA"/>
    <w:rsid w:val="007B152E"/>
    <w:rsid w:val="007B22F5"/>
    <w:rsid w:val="007B5209"/>
    <w:rsid w:val="007B6C03"/>
    <w:rsid w:val="007C12CD"/>
    <w:rsid w:val="007D16DB"/>
    <w:rsid w:val="007D216E"/>
    <w:rsid w:val="007D5B08"/>
    <w:rsid w:val="007E0D76"/>
    <w:rsid w:val="007F259E"/>
    <w:rsid w:val="007F3C73"/>
    <w:rsid w:val="007F66C1"/>
    <w:rsid w:val="007F7D08"/>
    <w:rsid w:val="00801A5E"/>
    <w:rsid w:val="0080462A"/>
    <w:rsid w:val="008110D1"/>
    <w:rsid w:val="008233EB"/>
    <w:rsid w:val="008413D2"/>
    <w:rsid w:val="00842964"/>
    <w:rsid w:val="00845F6B"/>
    <w:rsid w:val="0085255A"/>
    <w:rsid w:val="00863BBC"/>
    <w:rsid w:val="00866481"/>
    <w:rsid w:val="00866D84"/>
    <w:rsid w:val="00883794"/>
    <w:rsid w:val="00887053"/>
    <w:rsid w:val="00890E1D"/>
    <w:rsid w:val="0089137C"/>
    <w:rsid w:val="008A3CB4"/>
    <w:rsid w:val="008C50FE"/>
    <w:rsid w:val="008D1C57"/>
    <w:rsid w:val="008D6610"/>
    <w:rsid w:val="008E756F"/>
    <w:rsid w:val="008F2B7E"/>
    <w:rsid w:val="008F4F82"/>
    <w:rsid w:val="008F6D5E"/>
    <w:rsid w:val="008F76E0"/>
    <w:rsid w:val="00911269"/>
    <w:rsid w:val="00912598"/>
    <w:rsid w:val="00920E6B"/>
    <w:rsid w:val="00953C8A"/>
    <w:rsid w:val="00957D18"/>
    <w:rsid w:val="00967F70"/>
    <w:rsid w:val="0097395B"/>
    <w:rsid w:val="00990E96"/>
    <w:rsid w:val="00993B2D"/>
    <w:rsid w:val="00993BE6"/>
    <w:rsid w:val="009A18C0"/>
    <w:rsid w:val="009B081D"/>
    <w:rsid w:val="009B26A4"/>
    <w:rsid w:val="009B2FC3"/>
    <w:rsid w:val="009B6A7E"/>
    <w:rsid w:val="009C330B"/>
    <w:rsid w:val="009F2611"/>
    <w:rsid w:val="009F2A72"/>
    <w:rsid w:val="009F3603"/>
    <w:rsid w:val="00A060A9"/>
    <w:rsid w:val="00A07CBD"/>
    <w:rsid w:val="00A12D9E"/>
    <w:rsid w:val="00A27DF6"/>
    <w:rsid w:val="00A45624"/>
    <w:rsid w:val="00A55790"/>
    <w:rsid w:val="00A65597"/>
    <w:rsid w:val="00A71FD4"/>
    <w:rsid w:val="00A812E6"/>
    <w:rsid w:val="00A81FCA"/>
    <w:rsid w:val="00A90AD5"/>
    <w:rsid w:val="00AA3F72"/>
    <w:rsid w:val="00AA773D"/>
    <w:rsid w:val="00AC1211"/>
    <w:rsid w:val="00AD69FA"/>
    <w:rsid w:val="00AE3471"/>
    <w:rsid w:val="00AE4F48"/>
    <w:rsid w:val="00AF02D2"/>
    <w:rsid w:val="00B41BEB"/>
    <w:rsid w:val="00B5611F"/>
    <w:rsid w:val="00B56F34"/>
    <w:rsid w:val="00B71300"/>
    <w:rsid w:val="00B76B78"/>
    <w:rsid w:val="00B77A82"/>
    <w:rsid w:val="00B91B93"/>
    <w:rsid w:val="00BA2247"/>
    <w:rsid w:val="00BA6FDE"/>
    <w:rsid w:val="00BB73D2"/>
    <w:rsid w:val="00BC7EAA"/>
    <w:rsid w:val="00BE5073"/>
    <w:rsid w:val="00BF12B4"/>
    <w:rsid w:val="00BF1BF0"/>
    <w:rsid w:val="00C0038E"/>
    <w:rsid w:val="00C12223"/>
    <w:rsid w:val="00C162B3"/>
    <w:rsid w:val="00C2101A"/>
    <w:rsid w:val="00C226AE"/>
    <w:rsid w:val="00C3347D"/>
    <w:rsid w:val="00C47185"/>
    <w:rsid w:val="00C518CE"/>
    <w:rsid w:val="00C63A53"/>
    <w:rsid w:val="00C80008"/>
    <w:rsid w:val="00C959C1"/>
    <w:rsid w:val="00C97638"/>
    <w:rsid w:val="00CD2196"/>
    <w:rsid w:val="00CD55E8"/>
    <w:rsid w:val="00CF7035"/>
    <w:rsid w:val="00D12D17"/>
    <w:rsid w:val="00D2542E"/>
    <w:rsid w:val="00D25655"/>
    <w:rsid w:val="00D4187E"/>
    <w:rsid w:val="00D41DED"/>
    <w:rsid w:val="00D5202E"/>
    <w:rsid w:val="00D548F0"/>
    <w:rsid w:val="00D5631A"/>
    <w:rsid w:val="00D92E27"/>
    <w:rsid w:val="00DA2307"/>
    <w:rsid w:val="00DA4879"/>
    <w:rsid w:val="00DB0DD1"/>
    <w:rsid w:val="00DB2323"/>
    <w:rsid w:val="00DD3C56"/>
    <w:rsid w:val="00DD5843"/>
    <w:rsid w:val="00DE1F41"/>
    <w:rsid w:val="00DE62F6"/>
    <w:rsid w:val="00DF384F"/>
    <w:rsid w:val="00DF3A87"/>
    <w:rsid w:val="00DF7641"/>
    <w:rsid w:val="00E03928"/>
    <w:rsid w:val="00E05E15"/>
    <w:rsid w:val="00E12A80"/>
    <w:rsid w:val="00E12EC4"/>
    <w:rsid w:val="00E20831"/>
    <w:rsid w:val="00E27439"/>
    <w:rsid w:val="00E54F18"/>
    <w:rsid w:val="00E57E95"/>
    <w:rsid w:val="00E61AA2"/>
    <w:rsid w:val="00E63A62"/>
    <w:rsid w:val="00E65627"/>
    <w:rsid w:val="00E9156C"/>
    <w:rsid w:val="00E97BB9"/>
    <w:rsid w:val="00EA0E22"/>
    <w:rsid w:val="00EC5DF7"/>
    <w:rsid w:val="00ED6945"/>
    <w:rsid w:val="00EE3162"/>
    <w:rsid w:val="00EE376F"/>
    <w:rsid w:val="00EF0E73"/>
    <w:rsid w:val="00F04793"/>
    <w:rsid w:val="00F14C54"/>
    <w:rsid w:val="00F15688"/>
    <w:rsid w:val="00F16EC3"/>
    <w:rsid w:val="00F22F70"/>
    <w:rsid w:val="00F269E5"/>
    <w:rsid w:val="00F27666"/>
    <w:rsid w:val="00F305E1"/>
    <w:rsid w:val="00F31FF8"/>
    <w:rsid w:val="00F42399"/>
    <w:rsid w:val="00F55A43"/>
    <w:rsid w:val="00F60C36"/>
    <w:rsid w:val="00F62B5E"/>
    <w:rsid w:val="00F84371"/>
    <w:rsid w:val="00F92AB2"/>
    <w:rsid w:val="00F942DF"/>
    <w:rsid w:val="00FA4502"/>
    <w:rsid w:val="00FA4C4A"/>
    <w:rsid w:val="00FA5936"/>
    <w:rsid w:val="00FA6C88"/>
    <w:rsid w:val="00FB47AB"/>
    <w:rsid w:val="00FD1203"/>
    <w:rsid w:val="00FE17AB"/>
    <w:rsid w:val="00FF6B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7A3E"/>
  <w15:chartTrackingRefBased/>
  <w15:docId w15:val="{3B8E9480-1F3F-453C-ABEF-4B64957E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F3C73"/>
    <w:rPr>
      <w:rFonts w:ascii="Calibri" w:hAnsi="Calibri" w:cstheme="majorBidi"/>
      <w:szCs w:val="32"/>
    </w:rPr>
  </w:style>
  <w:style w:type="paragraph" w:styleId="Nagwek1">
    <w:name w:val="heading 1"/>
    <w:basedOn w:val="Normalny"/>
    <w:link w:val="Nagwek1Znak"/>
    <w:uiPriority w:val="9"/>
    <w:qFormat/>
    <w:rsid w:val="00B5611F"/>
    <w:pPr>
      <w:spacing w:before="100" w:beforeAutospacing="1" w:after="100" w:afterAutospacing="1" w:line="240" w:lineRule="auto"/>
      <w:outlineLvl w:val="0"/>
    </w:pPr>
    <w:rPr>
      <w:rFonts w:cs="Calibri"/>
      <w:b/>
      <w:bCs/>
      <w:kern w:val="36"/>
      <w:sz w:val="48"/>
      <w:szCs w:val="48"/>
      <w:lang w:eastAsia="pl-PL"/>
    </w:rPr>
  </w:style>
  <w:style w:type="paragraph" w:styleId="Nagwek2">
    <w:name w:val="heading 2"/>
    <w:basedOn w:val="Normalny"/>
    <w:next w:val="Normalny"/>
    <w:link w:val="Nagwek2Znak"/>
    <w:uiPriority w:val="9"/>
    <w:unhideWhenUsed/>
    <w:qFormat/>
    <w:rsid w:val="007A3BDC"/>
    <w:pPr>
      <w:keepNext/>
      <w:keepLines/>
      <w:shd w:val="clear" w:color="auto" w:fill="1F3864" w:themeFill="accent1" w:themeFillShade="80"/>
      <w:tabs>
        <w:tab w:val="left" w:pos="425"/>
      </w:tabs>
      <w:spacing w:before="240" w:after="0" w:line="276" w:lineRule="auto"/>
      <w:ind w:left="426" w:hanging="426"/>
      <w:outlineLvl w:val="1"/>
    </w:pPr>
    <w:rPr>
      <w:rFonts w:eastAsiaTheme="majorEastAsia"/>
      <w:b/>
      <w:color w:val="FFFFFF" w:themeColor="background1"/>
      <w:sz w:val="28"/>
      <w:szCs w:val="26"/>
      <w:lang w:eastAsia="pl-PL"/>
    </w:rPr>
  </w:style>
  <w:style w:type="paragraph" w:styleId="Nagwek3">
    <w:name w:val="heading 3"/>
    <w:basedOn w:val="Normalny"/>
    <w:next w:val="Normalny"/>
    <w:link w:val="Nagwek3Znak"/>
    <w:uiPriority w:val="9"/>
    <w:unhideWhenUsed/>
    <w:qFormat/>
    <w:rsid w:val="007A3BDC"/>
    <w:pPr>
      <w:keepNext/>
      <w:keepLines/>
      <w:shd w:val="clear" w:color="auto" w:fill="2F5496" w:themeFill="accent1" w:themeFillShade="BF"/>
      <w:spacing w:before="240" w:after="0" w:line="276" w:lineRule="auto"/>
      <w:ind w:left="850" w:hanging="425"/>
      <w:outlineLvl w:val="2"/>
    </w:pPr>
    <w:rPr>
      <w:rFonts w:eastAsiaTheme="majorEastAsia"/>
      <w:b/>
      <w:color w:val="FFFFFF" w:themeColor="background1"/>
      <w:sz w:val="26"/>
      <w:szCs w:val="24"/>
      <w:lang w:eastAsia="pl-PL"/>
    </w:rPr>
  </w:style>
  <w:style w:type="paragraph" w:styleId="Nagwek4">
    <w:name w:val="heading 4"/>
    <w:basedOn w:val="Normalny"/>
    <w:next w:val="Normalny"/>
    <w:link w:val="Nagwek4Znak"/>
    <w:autoRedefine/>
    <w:uiPriority w:val="99"/>
    <w:unhideWhenUsed/>
    <w:qFormat/>
    <w:rsid w:val="007A3BDC"/>
    <w:pPr>
      <w:keepNext/>
      <w:keepLines/>
      <w:spacing w:before="120" w:after="0" w:line="276" w:lineRule="auto"/>
      <w:ind w:hanging="312"/>
      <w:outlineLvl w:val="3"/>
    </w:pPr>
    <w:rPr>
      <w:rFonts w:eastAsia="MS Mincho"/>
      <w:b/>
      <w:bCs/>
      <w:sz w:val="26"/>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A060A9"/>
    <w:pPr>
      <w:ind w:left="720"/>
      <w:contextualSpacing/>
    </w:pPr>
  </w:style>
  <w:style w:type="character" w:styleId="Hipercze">
    <w:name w:val="Hyperlink"/>
    <w:basedOn w:val="Domylnaczcionkaakapitu"/>
    <w:uiPriority w:val="99"/>
    <w:unhideWhenUsed/>
    <w:rsid w:val="00845F6B"/>
    <w:rPr>
      <w:color w:val="0563C1"/>
      <w:u w:val="single"/>
    </w:rPr>
  </w:style>
  <w:style w:type="character" w:styleId="UyteHipercze">
    <w:name w:val="FollowedHyperlink"/>
    <w:basedOn w:val="Domylnaczcionkaakapitu"/>
    <w:uiPriority w:val="99"/>
    <w:semiHidden/>
    <w:unhideWhenUsed/>
    <w:rsid w:val="00845F6B"/>
    <w:rPr>
      <w:color w:val="954F72" w:themeColor="followedHyperlink"/>
      <w:u w:val="single"/>
    </w:rPr>
  </w:style>
  <w:style w:type="character" w:customStyle="1" w:styleId="font">
    <w:name w:val="font"/>
    <w:basedOn w:val="Domylnaczcionkaakapitu"/>
    <w:rsid w:val="00A45624"/>
  </w:style>
  <w:style w:type="character" w:styleId="Odwoaniedokomentarza">
    <w:name w:val="annotation reference"/>
    <w:basedOn w:val="Domylnaczcionkaakapitu"/>
    <w:uiPriority w:val="99"/>
    <w:semiHidden/>
    <w:unhideWhenUsed/>
    <w:rsid w:val="008A3CB4"/>
    <w:rPr>
      <w:sz w:val="16"/>
      <w:szCs w:val="16"/>
    </w:rPr>
  </w:style>
  <w:style w:type="paragraph" w:styleId="Tekstkomentarza">
    <w:name w:val="annotation text"/>
    <w:basedOn w:val="Normalny"/>
    <w:link w:val="TekstkomentarzaZnak"/>
    <w:uiPriority w:val="99"/>
    <w:unhideWhenUsed/>
    <w:rsid w:val="008A3CB4"/>
    <w:pPr>
      <w:spacing w:after="0" w:line="240" w:lineRule="auto"/>
    </w:pPr>
    <w:rPr>
      <w:rFonts w:cs="Calibri"/>
      <w:sz w:val="20"/>
      <w:szCs w:val="20"/>
      <w:lang w:eastAsia="pl-PL"/>
    </w:rPr>
  </w:style>
  <w:style w:type="character" w:customStyle="1" w:styleId="TekstkomentarzaZnak">
    <w:name w:val="Tekst komentarza Znak"/>
    <w:basedOn w:val="Domylnaczcionkaakapitu"/>
    <w:link w:val="Tekstkomentarza"/>
    <w:uiPriority w:val="99"/>
    <w:rsid w:val="008A3CB4"/>
    <w:rPr>
      <w:rFonts w:ascii="Calibri" w:hAnsi="Calibri" w:cs="Calibri"/>
      <w:sz w:val="20"/>
      <w:szCs w:val="20"/>
      <w:lang w:eastAsia="pl-PL"/>
    </w:rPr>
  </w:style>
  <w:style w:type="paragraph" w:styleId="Tekstdymka">
    <w:name w:val="Balloon Text"/>
    <w:basedOn w:val="Normalny"/>
    <w:link w:val="TekstdymkaZnak"/>
    <w:uiPriority w:val="99"/>
    <w:semiHidden/>
    <w:unhideWhenUsed/>
    <w:rsid w:val="008A3C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3CB4"/>
    <w:rPr>
      <w:rFonts w:ascii="Segoe UI" w:hAnsi="Segoe UI" w:cs="Segoe UI"/>
      <w:sz w:val="18"/>
      <w:szCs w:val="18"/>
    </w:rPr>
  </w:style>
  <w:style w:type="paragraph" w:styleId="NormalnyWeb">
    <w:name w:val="Normal (Web)"/>
    <w:basedOn w:val="Normalny"/>
    <w:uiPriority w:val="99"/>
    <w:unhideWhenUsed/>
    <w:rsid w:val="00482F90"/>
    <w:pPr>
      <w:spacing w:before="100" w:beforeAutospacing="1" w:after="100" w:afterAutospacing="1" w:line="240" w:lineRule="auto"/>
    </w:pPr>
    <w:rPr>
      <w:rFonts w:cs="Calibri"/>
      <w:szCs w:val="22"/>
      <w:lang w:eastAsia="pl-PL"/>
    </w:rPr>
  </w:style>
  <w:style w:type="character" w:styleId="Pogrubienie">
    <w:name w:val="Strong"/>
    <w:basedOn w:val="Domylnaczcionkaakapitu"/>
    <w:uiPriority w:val="22"/>
    <w:qFormat/>
    <w:rsid w:val="006C0875"/>
    <w:rPr>
      <w:b/>
      <w:bCs/>
    </w:rPr>
  </w:style>
  <w:style w:type="paragraph" w:styleId="Nagwek">
    <w:name w:val="header"/>
    <w:basedOn w:val="Normalny"/>
    <w:link w:val="NagwekZnak"/>
    <w:uiPriority w:val="99"/>
    <w:unhideWhenUsed/>
    <w:rsid w:val="008429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2964"/>
    <w:rPr>
      <w:rFonts w:ascii="Calibri" w:hAnsi="Calibri" w:cstheme="majorBidi"/>
      <w:szCs w:val="32"/>
    </w:rPr>
  </w:style>
  <w:style w:type="paragraph" w:styleId="Stopka">
    <w:name w:val="footer"/>
    <w:basedOn w:val="Normalny"/>
    <w:link w:val="StopkaZnak"/>
    <w:uiPriority w:val="99"/>
    <w:unhideWhenUsed/>
    <w:rsid w:val="008429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2964"/>
    <w:rPr>
      <w:rFonts w:ascii="Calibri" w:hAnsi="Calibri" w:cstheme="majorBidi"/>
      <w:szCs w:val="32"/>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E05E15"/>
    <w:rPr>
      <w:rFonts w:ascii="Calibri" w:hAnsi="Calibri" w:cstheme="majorBidi"/>
      <w:szCs w:val="32"/>
    </w:rPr>
  </w:style>
  <w:style w:type="character" w:customStyle="1" w:styleId="size">
    <w:name w:val="size"/>
    <w:basedOn w:val="Domylnaczcionkaakapitu"/>
    <w:rsid w:val="009F2A72"/>
  </w:style>
  <w:style w:type="paragraph" w:styleId="HTML-wstpniesformatowany">
    <w:name w:val="HTML Preformatted"/>
    <w:basedOn w:val="Normalny"/>
    <w:link w:val="HTML-wstpniesformatowanyZnak"/>
    <w:uiPriority w:val="99"/>
    <w:unhideWhenUsed/>
    <w:rsid w:val="0007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07670B"/>
    <w:rPr>
      <w:rFonts w:ascii="Courier New" w:hAnsi="Courier New" w:cs="Courier New"/>
      <w:sz w:val="20"/>
      <w:szCs w:val="20"/>
      <w:lang w:eastAsia="pl-PL"/>
    </w:rPr>
  </w:style>
  <w:style w:type="paragraph" w:customStyle="1" w:styleId="selectionshareable">
    <w:name w:val="selectionshareable"/>
    <w:basedOn w:val="Normalny"/>
    <w:rsid w:val="00632923"/>
    <w:pPr>
      <w:spacing w:before="100" w:beforeAutospacing="1" w:after="100" w:afterAutospacing="1" w:line="240" w:lineRule="auto"/>
    </w:pPr>
    <w:rPr>
      <w:rFonts w:cs="Calibri"/>
      <w:szCs w:val="22"/>
      <w:lang w:eastAsia="pl-PL"/>
    </w:rPr>
  </w:style>
  <w:style w:type="paragraph" w:customStyle="1" w:styleId="WW-Default">
    <w:name w:val="WW-Default"/>
    <w:uiPriority w:val="99"/>
    <w:rsid w:val="00640877"/>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Bezodstpw">
    <w:name w:val="No Spacing"/>
    <w:basedOn w:val="Normalny"/>
    <w:uiPriority w:val="1"/>
    <w:qFormat/>
    <w:rsid w:val="00F269E5"/>
    <w:pPr>
      <w:spacing w:before="100" w:beforeAutospacing="1" w:after="100" w:afterAutospacing="1" w:line="240" w:lineRule="auto"/>
    </w:pPr>
    <w:rPr>
      <w:rFonts w:cs="Calibri"/>
      <w:szCs w:val="22"/>
      <w:lang w:eastAsia="pl-PL"/>
    </w:rPr>
  </w:style>
  <w:style w:type="character" w:customStyle="1" w:styleId="Nagwek1Znak">
    <w:name w:val="Nagłówek 1 Znak"/>
    <w:basedOn w:val="Domylnaczcionkaakapitu"/>
    <w:link w:val="Nagwek1"/>
    <w:uiPriority w:val="9"/>
    <w:rsid w:val="00B5611F"/>
    <w:rPr>
      <w:rFonts w:ascii="Calibri" w:hAnsi="Calibri" w:cs="Calibri"/>
      <w:b/>
      <w:bCs/>
      <w:kern w:val="36"/>
      <w:sz w:val="48"/>
      <w:szCs w:val="48"/>
      <w:lang w:eastAsia="pl-PL"/>
    </w:rPr>
  </w:style>
  <w:style w:type="numbering" w:customStyle="1" w:styleId="Styl1">
    <w:name w:val="Styl1"/>
    <w:uiPriority w:val="99"/>
    <w:rsid w:val="00B5611F"/>
    <w:pPr>
      <w:numPr>
        <w:numId w:val="1"/>
      </w:numPr>
    </w:pPr>
  </w:style>
  <w:style w:type="paragraph" w:customStyle="1" w:styleId="PRZYPISKI1">
    <w:name w:val="PRZYPISKI1"/>
    <w:basedOn w:val="Normalny"/>
    <w:uiPriority w:val="99"/>
    <w:rsid w:val="00F62B5E"/>
    <w:pPr>
      <w:spacing w:after="0" w:line="240" w:lineRule="auto"/>
    </w:pPr>
    <w:rPr>
      <w:rFonts w:ascii="Times New Roman"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F62B5E"/>
    <w:rPr>
      <w:vertAlign w:val="superscript"/>
    </w:rPr>
  </w:style>
  <w:style w:type="character" w:customStyle="1" w:styleId="Nagwek2Znak">
    <w:name w:val="Nagłówek 2 Znak"/>
    <w:basedOn w:val="Domylnaczcionkaakapitu"/>
    <w:link w:val="Nagwek2"/>
    <w:uiPriority w:val="9"/>
    <w:rsid w:val="007A3BDC"/>
    <w:rPr>
      <w:rFonts w:ascii="Calibri" w:eastAsiaTheme="majorEastAsia" w:hAnsi="Calibri" w:cstheme="majorBidi"/>
      <w:b/>
      <w:color w:val="FFFFFF" w:themeColor="background1"/>
      <w:sz w:val="28"/>
      <w:szCs w:val="26"/>
      <w:shd w:val="clear" w:color="auto" w:fill="1F3864" w:themeFill="accent1" w:themeFillShade="80"/>
      <w:lang w:eastAsia="pl-PL"/>
    </w:rPr>
  </w:style>
  <w:style w:type="character" w:customStyle="1" w:styleId="Nagwek3Znak">
    <w:name w:val="Nagłówek 3 Znak"/>
    <w:basedOn w:val="Domylnaczcionkaakapitu"/>
    <w:link w:val="Nagwek3"/>
    <w:uiPriority w:val="9"/>
    <w:rsid w:val="007A3BDC"/>
    <w:rPr>
      <w:rFonts w:ascii="Calibri" w:eastAsiaTheme="majorEastAsia" w:hAnsi="Calibri" w:cstheme="majorBidi"/>
      <w:b/>
      <w:color w:val="FFFFFF" w:themeColor="background1"/>
      <w:sz w:val="26"/>
      <w:szCs w:val="24"/>
      <w:shd w:val="clear" w:color="auto" w:fill="2F5496" w:themeFill="accent1" w:themeFillShade="BF"/>
      <w:lang w:eastAsia="pl-PL"/>
    </w:rPr>
  </w:style>
  <w:style w:type="character" w:customStyle="1" w:styleId="Nagwek4Znak">
    <w:name w:val="Nagłówek 4 Znak"/>
    <w:basedOn w:val="Domylnaczcionkaakapitu"/>
    <w:link w:val="Nagwek4"/>
    <w:uiPriority w:val="99"/>
    <w:rsid w:val="007A3BDC"/>
    <w:rPr>
      <w:rFonts w:ascii="Calibri" w:eastAsia="MS Mincho" w:hAnsi="Calibri" w:cstheme="majorBidi"/>
      <w:b/>
      <w:bCs/>
      <w:sz w:val="26"/>
      <w:szCs w:val="28"/>
      <w:lang w:eastAsia="pl-PL"/>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unhideWhenUsed/>
    <w:qFormat/>
    <w:rsid w:val="007A3BDC"/>
    <w:pPr>
      <w:spacing w:after="0" w:line="240" w:lineRule="auto"/>
    </w:pPr>
    <w:rPr>
      <w:rFonts w:cs="Calibri"/>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7A3BDC"/>
    <w:rPr>
      <w:rFonts w:ascii="Calibri" w:hAnsi="Calibri" w:cs="Calibri"/>
      <w:sz w:val="20"/>
      <w:szCs w:val="20"/>
    </w:rPr>
  </w:style>
  <w:style w:type="paragraph" w:styleId="Zwykytekst">
    <w:name w:val="Plain Text"/>
    <w:basedOn w:val="Normalny"/>
    <w:link w:val="ZwykytekstZnak"/>
    <w:uiPriority w:val="99"/>
    <w:unhideWhenUsed/>
    <w:rsid w:val="00061B71"/>
    <w:pPr>
      <w:spacing w:after="0" w:line="240" w:lineRule="auto"/>
    </w:pPr>
    <w:rPr>
      <w:rFonts w:cstheme="minorBidi"/>
      <w:szCs w:val="21"/>
    </w:rPr>
  </w:style>
  <w:style w:type="character" w:customStyle="1" w:styleId="ZwykytekstZnak">
    <w:name w:val="Zwykły tekst Znak"/>
    <w:basedOn w:val="Domylnaczcionkaakapitu"/>
    <w:link w:val="Zwykytekst"/>
    <w:uiPriority w:val="99"/>
    <w:rsid w:val="00061B71"/>
    <w:rPr>
      <w:rFonts w:ascii="Calibri" w:hAnsi="Calibri"/>
      <w:szCs w:val="21"/>
    </w:rPr>
  </w:style>
  <w:style w:type="character" w:customStyle="1" w:styleId="gmaildefault">
    <w:name w:val="gmail_default"/>
    <w:basedOn w:val="Domylnaczcionkaakapitu"/>
    <w:rsid w:val="00E54F18"/>
  </w:style>
  <w:style w:type="paragraph" w:customStyle="1" w:styleId="v1msonormal">
    <w:name w:val="v1msonormal"/>
    <w:basedOn w:val="Normalny"/>
    <w:uiPriority w:val="99"/>
    <w:rsid w:val="001E336D"/>
    <w:pPr>
      <w:spacing w:before="100" w:beforeAutospacing="1" w:after="100" w:afterAutospacing="1" w:line="240" w:lineRule="auto"/>
    </w:pPr>
    <w:rPr>
      <w:rFonts w:ascii="Times New Roman" w:hAnsi="Times New Roman" w:cs="Times New Roman"/>
      <w:sz w:val="24"/>
      <w:szCs w:val="24"/>
      <w:lang w:eastAsia="pl-PL"/>
    </w:rPr>
  </w:style>
  <w:style w:type="paragraph" w:customStyle="1" w:styleId="styl3">
    <w:name w:val="styl3"/>
    <w:basedOn w:val="Normalny"/>
    <w:rsid w:val="00BC7EAA"/>
    <w:pPr>
      <w:spacing w:before="100" w:beforeAutospacing="1" w:after="100" w:afterAutospacing="1" w:line="240" w:lineRule="auto"/>
    </w:pPr>
    <w:rPr>
      <w:rFonts w:cs="Calibri"/>
      <w:szCs w:val="22"/>
      <w:lang w:eastAsia="pl-PL"/>
    </w:rPr>
  </w:style>
  <w:style w:type="character" w:styleId="Uwydatnienie">
    <w:name w:val="Emphasis"/>
    <w:basedOn w:val="Domylnaczcionkaakapitu"/>
    <w:uiPriority w:val="20"/>
    <w:qFormat/>
    <w:rsid w:val="005D0556"/>
    <w:rPr>
      <w:i/>
      <w:iCs/>
    </w:rPr>
  </w:style>
  <w:style w:type="paragraph" w:customStyle="1" w:styleId="default">
    <w:name w:val="default"/>
    <w:basedOn w:val="Normalny"/>
    <w:rsid w:val="00A27DF6"/>
    <w:pPr>
      <w:spacing w:before="100" w:beforeAutospacing="1" w:after="100" w:afterAutospacing="1" w:line="240" w:lineRule="auto"/>
    </w:pPr>
    <w:rPr>
      <w:rFonts w:cs="Calibri"/>
      <w:szCs w:val="22"/>
      <w:lang w:eastAsia="pl-PL"/>
    </w:rPr>
  </w:style>
  <w:style w:type="paragraph" w:customStyle="1" w:styleId="text-lead">
    <w:name w:val="text-lead"/>
    <w:basedOn w:val="Normalny"/>
    <w:rsid w:val="00462710"/>
    <w:pPr>
      <w:spacing w:before="100" w:beforeAutospacing="1" w:after="100" w:afterAutospacing="1" w:line="240" w:lineRule="auto"/>
    </w:pPr>
    <w:rPr>
      <w:rFonts w:ascii="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C12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77654">
      <w:bodyDiv w:val="1"/>
      <w:marLeft w:val="0"/>
      <w:marRight w:val="0"/>
      <w:marTop w:val="0"/>
      <w:marBottom w:val="0"/>
      <w:divBdr>
        <w:top w:val="none" w:sz="0" w:space="0" w:color="auto"/>
        <w:left w:val="none" w:sz="0" w:space="0" w:color="auto"/>
        <w:bottom w:val="none" w:sz="0" w:space="0" w:color="auto"/>
        <w:right w:val="none" w:sz="0" w:space="0" w:color="auto"/>
      </w:divBdr>
    </w:div>
    <w:div w:id="225531942">
      <w:bodyDiv w:val="1"/>
      <w:marLeft w:val="0"/>
      <w:marRight w:val="0"/>
      <w:marTop w:val="0"/>
      <w:marBottom w:val="0"/>
      <w:divBdr>
        <w:top w:val="none" w:sz="0" w:space="0" w:color="auto"/>
        <w:left w:val="none" w:sz="0" w:space="0" w:color="auto"/>
        <w:bottom w:val="none" w:sz="0" w:space="0" w:color="auto"/>
        <w:right w:val="none" w:sz="0" w:space="0" w:color="auto"/>
      </w:divBdr>
    </w:div>
    <w:div w:id="296644774">
      <w:bodyDiv w:val="1"/>
      <w:marLeft w:val="0"/>
      <w:marRight w:val="0"/>
      <w:marTop w:val="0"/>
      <w:marBottom w:val="0"/>
      <w:divBdr>
        <w:top w:val="none" w:sz="0" w:space="0" w:color="auto"/>
        <w:left w:val="none" w:sz="0" w:space="0" w:color="auto"/>
        <w:bottom w:val="none" w:sz="0" w:space="0" w:color="auto"/>
        <w:right w:val="none" w:sz="0" w:space="0" w:color="auto"/>
      </w:divBdr>
    </w:div>
    <w:div w:id="408967083">
      <w:bodyDiv w:val="1"/>
      <w:marLeft w:val="0"/>
      <w:marRight w:val="0"/>
      <w:marTop w:val="0"/>
      <w:marBottom w:val="0"/>
      <w:divBdr>
        <w:top w:val="none" w:sz="0" w:space="0" w:color="auto"/>
        <w:left w:val="none" w:sz="0" w:space="0" w:color="auto"/>
        <w:bottom w:val="none" w:sz="0" w:space="0" w:color="auto"/>
        <w:right w:val="none" w:sz="0" w:space="0" w:color="auto"/>
      </w:divBdr>
    </w:div>
    <w:div w:id="452284131">
      <w:bodyDiv w:val="1"/>
      <w:marLeft w:val="0"/>
      <w:marRight w:val="0"/>
      <w:marTop w:val="0"/>
      <w:marBottom w:val="0"/>
      <w:divBdr>
        <w:top w:val="none" w:sz="0" w:space="0" w:color="auto"/>
        <w:left w:val="none" w:sz="0" w:space="0" w:color="auto"/>
        <w:bottom w:val="none" w:sz="0" w:space="0" w:color="auto"/>
        <w:right w:val="none" w:sz="0" w:space="0" w:color="auto"/>
      </w:divBdr>
    </w:div>
    <w:div w:id="738207643">
      <w:bodyDiv w:val="1"/>
      <w:marLeft w:val="0"/>
      <w:marRight w:val="0"/>
      <w:marTop w:val="0"/>
      <w:marBottom w:val="0"/>
      <w:divBdr>
        <w:top w:val="none" w:sz="0" w:space="0" w:color="auto"/>
        <w:left w:val="none" w:sz="0" w:space="0" w:color="auto"/>
        <w:bottom w:val="none" w:sz="0" w:space="0" w:color="auto"/>
        <w:right w:val="none" w:sz="0" w:space="0" w:color="auto"/>
      </w:divBdr>
    </w:div>
    <w:div w:id="984579258">
      <w:bodyDiv w:val="1"/>
      <w:marLeft w:val="0"/>
      <w:marRight w:val="0"/>
      <w:marTop w:val="0"/>
      <w:marBottom w:val="0"/>
      <w:divBdr>
        <w:top w:val="none" w:sz="0" w:space="0" w:color="auto"/>
        <w:left w:val="none" w:sz="0" w:space="0" w:color="auto"/>
        <w:bottom w:val="none" w:sz="0" w:space="0" w:color="auto"/>
        <w:right w:val="none" w:sz="0" w:space="0" w:color="auto"/>
      </w:divBdr>
    </w:div>
    <w:div w:id="1060133012">
      <w:bodyDiv w:val="1"/>
      <w:marLeft w:val="0"/>
      <w:marRight w:val="0"/>
      <w:marTop w:val="0"/>
      <w:marBottom w:val="0"/>
      <w:divBdr>
        <w:top w:val="none" w:sz="0" w:space="0" w:color="auto"/>
        <w:left w:val="none" w:sz="0" w:space="0" w:color="auto"/>
        <w:bottom w:val="none" w:sz="0" w:space="0" w:color="auto"/>
        <w:right w:val="none" w:sz="0" w:space="0" w:color="auto"/>
      </w:divBdr>
    </w:div>
    <w:div w:id="1069425124">
      <w:bodyDiv w:val="1"/>
      <w:marLeft w:val="0"/>
      <w:marRight w:val="0"/>
      <w:marTop w:val="0"/>
      <w:marBottom w:val="0"/>
      <w:divBdr>
        <w:top w:val="none" w:sz="0" w:space="0" w:color="auto"/>
        <w:left w:val="none" w:sz="0" w:space="0" w:color="auto"/>
        <w:bottom w:val="none" w:sz="0" w:space="0" w:color="auto"/>
        <w:right w:val="none" w:sz="0" w:space="0" w:color="auto"/>
      </w:divBdr>
    </w:div>
    <w:div w:id="1100644237">
      <w:bodyDiv w:val="1"/>
      <w:marLeft w:val="0"/>
      <w:marRight w:val="0"/>
      <w:marTop w:val="0"/>
      <w:marBottom w:val="0"/>
      <w:divBdr>
        <w:top w:val="none" w:sz="0" w:space="0" w:color="auto"/>
        <w:left w:val="none" w:sz="0" w:space="0" w:color="auto"/>
        <w:bottom w:val="none" w:sz="0" w:space="0" w:color="auto"/>
        <w:right w:val="none" w:sz="0" w:space="0" w:color="auto"/>
      </w:divBdr>
    </w:div>
    <w:div w:id="1149205148">
      <w:bodyDiv w:val="1"/>
      <w:marLeft w:val="0"/>
      <w:marRight w:val="0"/>
      <w:marTop w:val="0"/>
      <w:marBottom w:val="0"/>
      <w:divBdr>
        <w:top w:val="none" w:sz="0" w:space="0" w:color="auto"/>
        <w:left w:val="none" w:sz="0" w:space="0" w:color="auto"/>
        <w:bottom w:val="none" w:sz="0" w:space="0" w:color="auto"/>
        <w:right w:val="none" w:sz="0" w:space="0" w:color="auto"/>
      </w:divBdr>
    </w:div>
    <w:div w:id="1193107010">
      <w:bodyDiv w:val="1"/>
      <w:marLeft w:val="0"/>
      <w:marRight w:val="0"/>
      <w:marTop w:val="0"/>
      <w:marBottom w:val="0"/>
      <w:divBdr>
        <w:top w:val="none" w:sz="0" w:space="0" w:color="auto"/>
        <w:left w:val="none" w:sz="0" w:space="0" w:color="auto"/>
        <w:bottom w:val="none" w:sz="0" w:space="0" w:color="auto"/>
        <w:right w:val="none" w:sz="0" w:space="0" w:color="auto"/>
      </w:divBdr>
    </w:div>
    <w:div w:id="1446265216">
      <w:bodyDiv w:val="1"/>
      <w:marLeft w:val="0"/>
      <w:marRight w:val="0"/>
      <w:marTop w:val="0"/>
      <w:marBottom w:val="0"/>
      <w:divBdr>
        <w:top w:val="none" w:sz="0" w:space="0" w:color="auto"/>
        <w:left w:val="none" w:sz="0" w:space="0" w:color="auto"/>
        <w:bottom w:val="none" w:sz="0" w:space="0" w:color="auto"/>
        <w:right w:val="none" w:sz="0" w:space="0" w:color="auto"/>
      </w:divBdr>
    </w:div>
    <w:div w:id="1460762322">
      <w:bodyDiv w:val="1"/>
      <w:marLeft w:val="0"/>
      <w:marRight w:val="0"/>
      <w:marTop w:val="0"/>
      <w:marBottom w:val="0"/>
      <w:divBdr>
        <w:top w:val="none" w:sz="0" w:space="0" w:color="auto"/>
        <w:left w:val="none" w:sz="0" w:space="0" w:color="auto"/>
        <w:bottom w:val="none" w:sz="0" w:space="0" w:color="auto"/>
        <w:right w:val="none" w:sz="0" w:space="0" w:color="auto"/>
      </w:divBdr>
    </w:div>
    <w:div w:id="2002997949">
      <w:bodyDiv w:val="1"/>
      <w:marLeft w:val="0"/>
      <w:marRight w:val="0"/>
      <w:marTop w:val="0"/>
      <w:marBottom w:val="0"/>
      <w:divBdr>
        <w:top w:val="none" w:sz="0" w:space="0" w:color="auto"/>
        <w:left w:val="none" w:sz="0" w:space="0" w:color="auto"/>
        <w:bottom w:val="none" w:sz="0" w:space="0" w:color="auto"/>
        <w:right w:val="none" w:sz="0" w:space="0" w:color="auto"/>
      </w:divBdr>
    </w:div>
    <w:div w:id="2043706251">
      <w:bodyDiv w:val="1"/>
      <w:marLeft w:val="0"/>
      <w:marRight w:val="0"/>
      <w:marTop w:val="0"/>
      <w:marBottom w:val="0"/>
      <w:divBdr>
        <w:top w:val="none" w:sz="0" w:space="0" w:color="auto"/>
        <w:left w:val="none" w:sz="0" w:space="0" w:color="auto"/>
        <w:bottom w:val="none" w:sz="0" w:space="0" w:color="auto"/>
        <w:right w:val="none" w:sz="0" w:space="0" w:color="auto"/>
      </w:divBdr>
    </w:div>
    <w:div w:id="212487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dukacja.efs@pomorskie.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BF5F6-A534-4DE8-9EDF-68FC9A34DDEF}">
  <ds:schemaRefs>
    <ds:schemaRef ds:uri="http://www.w3.org/2001/XMLSchema"/>
  </ds:schemaRefs>
</ds:datastoreItem>
</file>

<file path=customXml/itemProps2.xml><?xml version="1.0" encoding="utf-8"?>
<ds:datastoreItem xmlns:ds="http://schemas.openxmlformats.org/officeDocument/2006/customXml" ds:itemID="{03E10744-D049-4BE5-89E8-EB7311AD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786</Words>
  <Characters>4718</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Pomorskiego</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Deleżyńska Katarzyna</dc:creator>
  <cp:keywords/>
  <dc:description/>
  <cp:lastModifiedBy>Mojek Daria</cp:lastModifiedBy>
  <cp:revision>5</cp:revision>
  <dcterms:created xsi:type="dcterms:W3CDTF">2026-01-08T07:22:00Z</dcterms:created>
  <dcterms:modified xsi:type="dcterms:W3CDTF">2026-01-08T12:45:00Z</dcterms:modified>
</cp:coreProperties>
</file>