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bookmarkStart w:id="0" w:name="_GoBack"/>
      <w:bookmarkEnd w:id="0"/>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340743" w:rsidRDefault="00D41DED" w:rsidP="00D6636D">
      <w:pPr>
        <w:pStyle w:val="Nagwek1"/>
      </w:pPr>
      <w:r w:rsidRPr="00340743">
        <w:t>KRYTERIA WYBORU:</w:t>
      </w:r>
    </w:p>
    <w:p w14:paraId="523E4043" w14:textId="7CE9A143" w:rsidR="00D41DED" w:rsidRPr="00730D5B" w:rsidRDefault="00D41DED" w:rsidP="00F942DF">
      <w:pPr>
        <w:pStyle w:val="Akapitzlist"/>
        <w:numPr>
          <w:ilvl w:val="0"/>
          <w:numId w:val="2"/>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5E9F56C7" w:rsidR="00D41DED" w:rsidRDefault="00D41DED" w:rsidP="00671776">
      <w:pPr>
        <w:spacing w:line="276"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EA50A6B" w14:textId="14EC72FA" w:rsidR="00805A10" w:rsidRDefault="00805A10" w:rsidP="00805A10">
      <w:pPr>
        <w:pStyle w:val="Zwykytekst"/>
      </w:pPr>
    </w:p>
    <w:p w14:paraId="21D106C2" w14:textId="7F213F2D" w:rsidR="003773A5" w:rsidRDefault="00805A10" w:rsidP="00805A10">
      <w:pPr>
        <w:pStyle w:val="Akapitzlist"/>
        <w:numPr>
          <w:ilvl w:val="0"/>
          <w:numId w:val="7"/>
        </w:numPr>
        <w:spacing w:line="276" w:lineRule="auto"/>
      </w:pPr>
      <w:r>
        <w:t>Mam pytanie w sprawie naboru o Zintegrowane Porozumienie Terytorialne.</w:t>
      </w:r>
      <w:r w:rsidR="006663A1">
        <w:t xml:space="preserve"> </w:t>
      </w:r>
      <w:r>
        <w:t xml:space="preserve">W regulaminie jest tylko ogólna  informacja w tej sprawie obwarowana liczbą punktów 22 lub 0. Jak rozumieć należy ten punkt,  jakie terytoria są preferowane,  jakie </w:t>
      </w:r>
      <w:proofErr w:type="spellStart"/>
      <w:r>
        <w:t>sa</w:t>
      </w:r>
      <w:proofErr w:type="spellEnd"/>
      <w:r>
        <w:t xml:space="preserve"> wykluczone z naboru?</w:t>
      </w:r>
    </w:p>
    <w:p w14:paraId="0B14E5EF" w14:textId="04250D46" w:rsidR="00F942DF" w:rsidRDefault="00805A10" w:rsidP="003773A5">
      <w:pPr>
        <w:spacing w:after="0" w:line="240" w:lineRule="auto"/>
        <w:rPr>
          <w:b/>
        </w:rPr>
      </w:pPr>
      <w:r w:rsidRPr="00D41DED">
        <w:rPr>
          <w:b/>
        </w:rPr>
        <w:lastRenderedPageBreak/>
        <w:t xml:space="preserve">Odpowiedź z </w:t>
      </w:r>
      <w:r>
        <w:rPr>
          <w:b/>
        </w:rPr>
        <w:t>12.01.2026</w:t>
      </w:r>
    </w:p>
    <w:p w14:paraId="690CF518" w14:textId="77777777" w:rsidR="00805A10" w:rsidRPr="002D42D1" w:rsidRDefault="00805A10" w:rsidP="00805A10">
      <w:pPr>
        <w:shd w:val="clear" w:color="auto" w:fill="FFFFFF"/>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 xml:space="preserve">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w:t>
      </w:r>
    </w:p>
    <w:p w14:paraId="391A9ADA" w14:textId="77777777"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14:paraId="4CB37F33" w14:textId="7E50BE05"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r w:rsidRPr="002D42D1">
        <w:rPr>
          <w:rFonts w:asciiTheme="minorHAnsi" w:hAnsiTheme="minorHAnsi" w:cstheme="minorHAnsi"/>
          <w:color w:val="212529"/>
          <w:szCs w:val="22"/>
          <w:lang w:eastAsia="pl-PL"/>
        </w:rPr>
        <w:br/>
        <w:t>Warunkiem objęcia instrumentem ZPT jest wypracowanie Zintegrowanego Porozumienia Terytorialnego pomiędzy Samorządem Województwa Pomorskiego (SWP) reprezentowanym przez Zarząd Województwa Pomorskiego (ZWP) a działającymi w partnerstwie JST ze wskazanych OF.</w:t>
      </w:r>
    </w:p>
    <w:p w14:paraId="1C7ADBE5" w14:textId="7A96BCE0" w:rsidR="00805A10" w:rsidRDefault="00805A10" w:rsidP="00805A10">
      <w:pPr>
        <w:spacing w:after="0" w:line="240" w:lineRule="auto"/>
        <w:rPr>
          <w:rFonts w:eastAsia="Times New Roman" w:cstheme="minorHAnsi"/>
          <w:b/>
          <w:sz w:val="24"/>
          <w:szCs w:val="24"/>
          <w:lang w:eastAsia="pl-PL"/>
        </w:rPr>
      </w:pPr>
      <w:r w:rsidRPr="002D42D1">
        <w:rPr>
          <w:rFonts w:asciiTheme="minorHAnsi" w:hAnsiTheme="minorHAnsi" w:cstheme="minorHAnsi"/>
          <w:color w:val="212529"/>
          <w:szCs w:val="22"/>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14:paraId="3F037163" w14:textId="77777777" w:rsidR="00F942DF" w:rsidRDefault="00F942DF" w:rsidP="003773A5">
      <w:pPr>
        <w:spacing w:after="0" w:line="240" w:lineRule="auto"/>
        <w:rPr>
          <w:rFonts w:eastAsia="Times New Roman" w:cstheme="minorHAnsi"/>
          <w:b/>
          <w:sz w:val="24"/>
          <w:szCs w:val="24"/>
          <w:lang w:eastAsia="pl-PL"/>
        </w:rPr>
      </w:pPr>
      <w:r>
        <w:rPr>
          <w:rFonts w:eastAsia="Times New Roman" w:cstheme="minorHAnsi"/>
          <w:b/>
          <w:sz w:val="24"/>
          <w:szCs w:val="24"/>
          <w:lang w:eastAsia="pl-PL"/>
        </w:rPr>
        <w:br/>
      </w:r>
      <w:r>
        <w:rPr>
          <w:rFonts w:eastAsia="Times New Roman" w:cstheme="minorHAnsi"/>
          <w:b/>
          <w:sz w:val="24"/>
          <w:szCs w:val="24"/>
          <w:lang w:eastAsia="pl-PL"/>
        </w:rPr>
        <w:br/>
      </w:r>
    </w:p>
    <w:p w14:paraId="280EF7B7" w14:textId="27A41066" w:rsidR="003773A5" w:rsidRDefault="00F942DF" w:rsidP="00D6636D">
      <w:pPr>
        <w:pStyle w:val="Nagwek1"/>
      </w:pPr>
      <w:r>
        <w:t>KWALIFIKOWALNOŚĆ WYDATKÓW</w:t>
      </w:r>
      <w:r w:rsidR="003773A5" w:rsidRPr="00340743">
        <w:t>:</w:t>
      </w:r>
    </w:p>
    <w:p w14:paraId="385CA4F3" w14:textId="77777777" w:rsidR="003773A5" w:rsidRDefault="003773A5" w:rsidP="003773A5">
      <w:pPr>
        <w:spacing w:after="0" w:line="240" w:lineRule="auto"/>
        <w:rPr>
          <w:rFonts w:eastAsia="Times New Roman" w:cs="Times New Roman"/>
          <w:szCs w:val="22"/>
          <w:lang w:eastAsia="pl-PL"/>
        </w:rPr>
      </w:pPr>
    </w:p>
    <w:p w14:paraId="34120BCC" w14:textId="5924227E" w:rsidR="003773A5" w:rsidRPr="00F942DF" w:rsidRDefault="003773A5" w:rsidP="00F942DF">
      <w:pPr>
        <w:pStyle w:val="Akapitzlist"/>
        <w:numPr>
          <w:ilvl w:val="0"/>
          <w:numId w:val="3"/>
        </w:numPr>
        <w:spacing w:after="0" w:line="240" w:lineRule="auto"/>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3773A5">
      <w:pPr>
        <w:spacing w:after="0" w:line="240" w:lineRule="auto"/>
        <w:rPr>
          <w:rFonts w:eastAsia="Times New Roman" w:cs="Times New Roman"/>
          <w:szCs w:val="22"/>
          <w:lang w:eastAsia="pl-PL"/>
        </w:rPr>
      </w:pPr>
    </w:p>
    <w:p w14:paraId="53AFEEA2" w14:textId="700F941E" w:rsidR="003773A5" w:rsidRPr="003773A5" w:rsidRDefault="003773A5" w:rsidP="003773A5">
      <w:pPr>
        <w:spacing w:after="0" w:line="24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3773A5">
      <w:pPr>
        <w:spacing w:after="0" w:line="240" w:lineRule="auto"/>
        <w:rPr>
          <w:rFonts w:eastAsia="Times New Roman" w:cs="Times New Roman"/>
          <w:szCs w:val="22"/>
          <w:lang w:eastAsia="pl-PL"/>
        </w:rPr>
      </w:pPr>
    </w:p>
    <w:p w14:paraId="2358C031" w14:textId="77777777"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kwalifikowalny, proporcjonalnie do liczby utworzonych miejsc wychowania przedszkolnego w danym OWP w ramach realizacji projektu. </w:t>
      </w:r>
    </w:p>
    <w:p w14:paraId="1ED1DD7D" w14:textId="622644A2"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Jednocześnie przypominamy, że ocena kwalifikowalności wydatku, a więc jego racjonalności i zasadności następuje na etapie oceny projektu oraz rozliczenia wydatku w trakcie realizacji projektu.</w:t>
      </w:r>
    </w:p>
    <w:p w14:paraId="06277DCE" w14:textId="579CD9CC" w:rsidR="003773A5" w:rsidRDefault="003773A5" w:rsidP="00671776">
      <w:pPr>
        <w:spacing w:line="276" w:lineRule="auto"/>
      </w:pPr>
    </w:p>
    <w:p w14:paraId="375C5DDF" w14:textId="0A87E585" w:rsidR="002A04C5" w:rsidRDefault="002A04C5" w:rsidP="00671776">
      <w:pPr>
        <w:spacing w:line="276" w:lineRule="auto"/>
      </w:pPr>
      <w:r>
        <w:rPr>
          <w:rFonts w:eastAsia="Times New Roman" w:cstheme="minorHAnsi"/>
          <w:b/>
          <w:sz w:val="24"/>
          <w:szCs w:val="24"/>
          <w:lang w:eastAsia="pl-PL"/>
        </w:rPr>
        <w:lastRenderedPageBreak/>
        <w:t>DZIAŁANIA</w:t>
      </w:r>
      <w:r w:rsidRPr="00340743">
        <w:rPr>
          <w:rFonts w:eastAsia="Times New Roman" w:cstheme="minorHAnsi"/>
          <w:b/>
          <w:sz w:val="24"/>
          <w:szCs w:val="24"/>
          <w:lang w:eastAsia="pl-PL"/>
        </w:rPr>
        <w:t>:</w:t>
      </w:r>
    </w:p>
    <w:p w14:paraId="5C3D8F26" w14:textId="0D02A0AC" w:rsidR="002A04C5" w:rsidRPr="00EF1F15" w:rsidRDefault="00EF0E73" w:rsidP="002A04C5">
      <w:pPr>
        <w:pStyle w:val="Zwykytekst"/>
        <w:numPr>
          <w:ilvl w:val="0"/>
          <w:numId w:val="4"/>
        </w:numPr>
        <w:spacing w:line="276" w:lineRule="auto"/>
      </w:pPr>
      <w:r>
        <w:t>P</w:t>
      </w:r>
      <w:r w:rsidR="002A04C5" w:rsidRPr="00EF1F15">
        <w:t>ytanie dot. zapisu w regulaminie na str. 15</w:t>
      </w:r>
      <w:r w:rsidR="002A04C5">
        <w:t>:</w:t>
      </w:r>
    </w:p>
    <w:p w14:paraId="45BC1FF4" w14:textId="39B8F6FE" w:rsidR="002A04C5" w:rsidRPr="00EF1F15" w:rsidRDefault="002A04C5" w:rsidP="002A04C5">
      <w:pPr>
        <w:pStyle w:val="Zwykytekst"/>
        <w:spacing w:line="276"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2A04C5">
      <w:pPr>
        <w:pStyle w:val="Zwykytekst"/>
        <w:spacing w:line="276" w:lineRule="auto"/>
      </w:pPr>
    </w:p>
    <w:p w14:paraId="5D22A370" w14:textId="07E850CF" w:rsidR="002A04C5" w:rsidRDefault="002A04C5" w:rsidP="006C1EE1">
      <w:pPr>
        <w:pStyle w:val="Zwykytekst"/>
        <w:spacing w:line="276"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6C1EE1">
      <w:pPr>
        <w:spacing w:after="80" w:line="276" w:lineRule="auto"/>
        <w:rPr>
          <w:b/>
          <w:szCs w:val="22"/>
        </w:rPr>
      </w:pPr>
    </w:p>
    <w:p w14:paraId="2D0C241A" w14:textId="1A0A2139" w:rsidR="002A04C5" w:rsidRPr="009C4BC5" w:rsidRDefault="002A04C5" w:rsidP="006C1EE1">
      <w:pPr>
        <w:spacing w:line="276"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2A04C5">
      <w:pPr>
        <w:spacing w:line="276"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r w:rsidRPr="009C4BC5">
        <w:rPr>
          <w:szCs w:val="22"/>
        </w:rPr>
        <w:t>z krajowych środków publicznych przeznaczonych na finansowanie wychowania przedszkolnego.</w:t>
      </w:r>
    </w:p>
    <w:p w14:paraId="4CEFDE6A" w14:textId="39253715" w:rsidR="002A04C5" w:rsidRPr="009C4BC5" w:rsidRDefault="002A04C5" w:rsidP="002A04C5">
      <w:pPr>
        <w:spacing w:line="276" w:lineRule="auto"/>
        <w:rPr>
          <w:szCs w:val="22"/>
          <w14:ligatures w14:val="standardContextual"/>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funkcjonowania stanowią katalog otwarty, a finansowanie bieżącej działalności (przez okres nie dłuższy niż </w:t>
      </w:r>
      <w:r w:rsidR="00EF0E73">
        <w:rPr>
          <w:szCs w:val="22"/>
        </w:rPr>
        <w:br/>
      </w:r>
      <w:r w:rsidRPr="009C4BC5">
        <w:rPr>
          <w:szCs w:val="22"/>
        </w:rPr>
        <w:t xml:space="preserve">12 miesięcy), dotyczyć może wyłącznie nowo utworzonych miejsc. </w:t>
      </w:r>
    </w:p>
    <w:p w14:paraId="7C2CC2E4" w14:textId="08252E80" w:rsidR="002A04C5" w:rsidRDefault="002A04C5" w:rsidP="00671776">
      <w:pPr>
        <w:spacing w:line="276" w:lineRule="auto"/>
      </w:pPr>
    </w:p>
    <w:p w14:paraId="71A2FB3E" w14:textId="2F0BF147" w:rsidR="006663A1" w:rsidRDefault="006663A1" w:rsidP="00D6636D">
      <w:pPr>
        <w:pStyle w:val="Nagwek1"/>
      </w:pPr>
      <w:r>
        <w:t>BUDŻET PROJEKTU</w:t>
      </w:r>
      <w:r w:rsidRPr="00340743">
        <w:t>:</w:t>
      </w:r>
    </w:p>
    <w:p w14:paraId="5A824CEF" w14:textId="3CED2B4D" w:rsidR="006663A1" w:rsidRPr="00E56785" w:rsidRDefault="006663A1" w:rsidP="006663A1">
      <w:pPr>
        <w:pStyle w:val="Akapitzlist"/>
        <w:numPr>
          <w:ilvl w:val="0"/>
          <w:numId w:val="8"/>
        </w:numPr>
      </w:pPr>
      <w:r w:rsidRPr="00E56785">
        <w:t>Czy w ramach konkursu przedszkolnego obowiązują limity cen na najczęściej finansowane zakupy lub usługi?</w:t>
      </w:r>
    </w:p>
    <w:p w14:paraId="1158AB86" w14:textId="77777777" w:rsidR="006663A1" w:rsidRDefault="006663A1" w:rsidP="006663A1">
      <w:pPr>
        <w:rPr>
          <w:b/>
        </w:rPr>
      </w:pPr>
      <w:r w:rsidRPr="00D41DED">
        <w:rPr>
          <w:b/>
        </w:rPr>
        <w:t xml:space="preserve">Odpowiedź z </w:t>
      </w:r>
      <w:r>
        <w:rPr>
          <w:b/>
        </w:rPr>
        <w:t>12.01.2026</w:t>
      </w:r>
    </w:p>
    <w:p w14:paraId="53CE4025" w14:textId="7FF266A4" w:rsidR="006663A1" w:rsidRPr="00D709F5" w:rsidRDefault="006663A1" w:rsidP="006663A1">
      <w:r w:rsidRPr="00D709F5">
        <w:t>Tak. W ramach naboru</w:t>
      </w:r>
      <w:r>
        <w:rPr>
          <w:b/>
        </w:rPr>
        <w:t xml:space="preserve"> </w:t>
      </w:r>
      <w:r w:rsidRPr="00310698">
        <w:t xml:space="preserve">zostały określone maksymalne stawki rynkowe najczęściej finansowanych towarów lub usług </w:t>
      </w:r>
      <w:r>
        <w:t xml:space="preserve">w postaci załącznika nr 24 do Regulaminu pn. </w:t>
      </w:r>
      <w:r w:rsidRPr="00310698">
        <w:t>Taryfikator towarów i usł</w:t>
      </w:r>
      <w:r>
        <w:t>ug.</w:t>
      </w:r>
    </w:p>
    <w:p w14:paraId="2A7FA4AF" w14:textId="77777777" w:rsidR="006663A1" w:rsidRDefault="006663A1" w:rsidP="006663A1">
      <w:r>
        <w:t>Równocześnie poziom dofinansowania jest zależny od wartości projektu, która powinna wynikać bezpośrednio z realnych potrzeb określonych na podstawie przeprowadzonej diagnozy oraz liczby uczestników planowanych do objęcia wsparciem. Wydatki w ramach budżetu projektu muszą zostać oszacowane w sposób racjonalny i efektywny, w oparciu o stawki rynkowe z uwzględnieniem stawek podanych w Taryfikatorze towarów i usług.</w:t>
      </w:r>
    </w:p>
    <w:p w14:paraId="15759282" w14:textId="35019EFB" w:rsidR="006663A1" w:rsidRDefault="006663A1" w:rsidP="006663A1">
      <w:pPr>
        <w:spacing w:line="276" w:lineRule="auto"/>
      </w:pPr>
      <w:r>
        <w:t>Jednocześnie t</w:t>
      </w:r>
      <w:r w:rsidRPr="00310698">
        <w:t>aryfikator nie stanowi katalogu zamkniętego</w:t>
      </w:r>
      <w:r>
        <w:t>. D</w:t>
      </w:r>
      <w:r w:rsidRPr="00310698">
        <w:t>opuszczalne jest ujmowanie w budżecie projektu kosztów</w:t>
      </w:r>
      <w:r>
        <w:t>, które nie zostały</w:t>
      </w:r>
      <w:r w:rsidRPr="00310698">
        <w:t xml:space="preserve"> w nim wskazan</w:t>
      </w:r>
      <w:r>
        <w:t>e</w:t>
      </w:r>
      <w:r w:rsidRPr="00310698">
        <w:t>.</w:t>
      </w:r>
      <w:r>
        <w:t xml:space="preserve"> </w:t>
      </w:r>
      <w:r w:rsidRPr="00310698">
        <w:t xml:space="preserve">Stawki </w:t>
      </w:r>
      <w:r>
        <w:t>w nim przedstawione</w:t>
      </w:r>
      <w:r w:rsidRPr="00310698">
        <w:t xml:space="preserve"> należy traktować jako maksymalne i odstępstwo możliwe jest tylko w uzasadnionych przypadkach</w:t>
      </w:r>
      <w:r>
        <w:t xml:space="preserve">, niemniej w </w:t>
      </w:r>
      <w:r w:rsidRPr="00922EF2">
        <w:t>przypadku założenia w budżecie projektu stawek wyższych, należy wyjaśnić we wniosku o dofinansowanie (w części uzasadnienie wydatków) powód odstępstwa od stawek określonych w taryfikatorze.</w:t>
      </w:r>
    </w:p>
    <w:p w14:paraId="1A3CDF20" w14:textId="60F64671" w:rsidR="00E56785" w:rsidRPr="00E56785" w:rsidRDefault="00E56785" w:rsidP="00E56785">
      <w:pPr>
        <w:pStyle w:val="Akapitzlist"/>
        <w:numPr>
          <w:ilvl w:val="0"/>
          <w:numId w:val="4"/>
        </w:numPr>
        <w:spacing w:line="276" w:lineRule="auto"/>
      </w:pPr>
      <w:r>
        <w:rPr>
          <w:rFonts w:eastAsia="Times New Roman"/>
        </w:rPr>
        <w:t xml:space="preserve">Beneficjent planuje w ramach projektu w związku z bieżącą działalnością nowo utworzonych miejsca wychowania przedszkolnego ująć wyłącznie wydatek dot. wyżywienia dzieci, który będzie stanowić wkład własny do projektu wnoszony przez rodziców dzieci objętych edukacją przedszkolną w ramach nowoutworzonych miejsc. Czy jest to dopuszczalne, a pozostałe wydatki związane z bieżącą działalnością będą finansowane z subwencji/dotacji oświatowej? (pragnę podkreślić, że wyżywienie dzieci nie może być </w:t>
      </w:r>
      <w:r>
        <w:rPr>
          <w:rFonts w:eastAsia="Times New Roman"/>
        </w:rPr>
        <w:lastRenderedPageBreak/>
        <w:t>finansowane z krajowych środków publicznych, przeznaczonych na finansowanie wychowania przedszkolnego, tj. zgodnie z ustawą o finansowaniu zadań oświatowych nie może być finansowane przez organy prowadzące inne niż JST z dotacji z budżetu gminy). Czy w przypadku odpowiedzi na powyższe pytania ma znaczenie czy Beneficjentem jest Gmina czy prywatny organ prowadzący?</w:t>
      </w:r>
    </w:p>
    <w:p w14:paraId="62F94F64" w14:textId="3757EBF7" w:rsidR="00E56785" w:rsidRPr="00E56785" w:rsidRDefault="00E56785" w:rsidP="00E56785">
      <w:pPr>
        <w:spacing w:line="276" w:lineRule="auto"/>
        <w:rPr>
          <w:b/>
          <w:szCs w:val="22"/>
        </w:rPr>
      </w:pPr>
      <w:r w:rsidRPr="00E56785">
        <w:rPr>
          <w:b/>
          <w:szCs w:val="22"/>
        </w:rPr>
        <w:t>Odpowiedź z 16.01.2026</w:t>
      </w:r>
    </w:p>
    <w:p w14:paraId="00AA3370" w14:textId="77777777" w:rsidR="00E56785" w:rsidRPr="00E56785" w:rsidRDefault="00E56785" w:rsidP="00E56785">
      <w:pPr>
        <w:spacing w:line="276" w:lineRule="auto"/>
        <w:rPr>
          <w:rFonts w:cs="Calibri"/>
          <w:szCs w:val="22"/>
        </w:rPr>
      </w:pPr>
      <w:r w:rsidRPr="00E56785">
        <w:t xml:space="preserve">Wniesienie wyżywienia jako wkładu własnego nie będzie stanowić sprzeczności z zapisami regulaminu w części 2.3.1 pkt 7. Niemniej jednak Wnioskodawca jest </w:t>
      </w:r>
      <w:r w:rsidRPr="00E56785">
        <w:rPr>
          <w:b/>
          <w:bCs/>
        </w:rPr>
        <w:t>zobligowany do podjęcia decyzji</w:t>
      </w:r>
      <w:r w:rsidRPr="00E56785">
        <w:t>, czy działalność bieżąca w stosunku do nowo utworzonych miejsc w ramach projektu będzie finansowana ze środków EFS+, czy z krajowych środków publicznych i w związku z tym jest zobowiązany do zawarcia we wniosku o dofinasowanie deklaracji w tym zakresie. W sytuacji podjęcia decyzji  finansowania działalności bieżącej</w:t>
      </w:r>
      <w:r w:rsidRPr="00E56785">
        <w:rPr>
          <w:b/>
          <w:bCs/>
        </w:rPr>
        <w:t xml:space="preserve"> </w:t>
      </w:r>
      <w:r w:rsidRPr="00E56785">
        <w:t>ze środków EFS+ zgodnie z pkt 2.3.1 ust. 6 Regulaminu należy  we wniosku o dofinansowanie zawrzeć oświadczenie, że działalność bieżąca w zakresie projektu nie będzie dofinansowana z krajowych środków publicznych przeznaczonych na finansowanie wychowania przedszkolnego.</w:t>
      </w:r>
    </w:p>
    <w:p w14:paraId="1C83F05C" w14:textId="77777777" w:rsidR="00E56785" w:rsidRPr="00E56785" w:rsidRDefault="00E56785" w:rsidP="00E56785">
      <w:pPr>
        <w:spacing w:line="276" w:lineRule="auto"/>
      </w:pPr>
      <w:r w:rsidRPr="00E56785">
        <w:t>Mając na uwadze powyższe, pozycja budżetowa dotycząca wkładu własnego w postaci wyżywienia będzie stanowić jedyną pozycję w zakresie bieżącego funkcjonowania w przypadku, gdy Wnioskodawca będzie pobierał dotację z budżetu gminy.</w:t>
      </w:r>
    </w:p>
    <w:p w14:paraId="3F1D43CC" w14:textId="77777777" w:rsidR="00E56785" w:rsidRPr="00E56785" w:rsidRDefault="00E56785" w:rsidP="00E56785">
      <w:pPr>
        <w:spacing w:line="276" w:lineRule="auto"/>
        <w:rPr>
          <w14:ligatures w14:val="standardContextual"/>
        </w:rPr>
      </w:pPr>
      <w:r w:rsidRPr="00E56785">
        <w:rPr>
          <w14:ligatures w14:val="standardContextual"/>
        </w:rPr>
        <w:t>Wkład własny wnoszony przez Beneficjenta  we wniosku o dofinansowanie projektu może być zarówno publiczny, jak i prywatny. Jego rodzaj zależy od statusu prawnego beneficjenta/partnera tj. :</w:t>
      </w:r>
    </w:p>
    <w:p w14:paraId="60BEB4AC" w14:textId="7DD397A8" w:rsid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 xml:space="preserve">firma prywatna wnosi wkład prywatny, </w:t>
      </w:r>
    </w:p>
    <w:p w14:paraId="396E1413" w14:textId="498F5789" w:rsidR="00E56785" w:rsidRP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jednostka samorządu terytorialnego (JST) wnosi wkład publiczny, pochodzący z budżetu państwa, funduszy celowych (PFRON, Fundusz Pracy) czy własnych środków gospodarczych (wpłat za wyżywienie).</w:t>
      </w:r>
    </w:p>
    <w:p w14:paraId="430431B4" w14:textId="6004E1A4" w:rsidR="00E56785" w:rsidRDefault="00E56785" w:rsidP="00E56785">
      <w:pPr>
        <w:spacing w:line="276" w:lineRule="auto"/>
      </w:pPr>
    </w:p>
    <w:p w14:paraId="36514D1C" w14:textId="1CE20C7D" w:rsidR="00E56785" w:rsidRPr="00E56785" w:rsidRDefault="00E56785" w:rsidP="00E56785">
      <w:pPr>
        <w:pStyle w:val="Akapitzlist"/>
        <w:numPr>
          <w:ilvl w:val="0"/>
          <w:numId w:val="4"/>
        </w:numPr>
        <w:spacing w:line="276" w:lineRule="auto"/>
      </w:pPr>
      <w:r>
        <w:rPr>
          <w:rFonts w:eastAsia="Times New Roman"/>
        </w:rPr>
        <w:t>Czy wkładem do projektu mogą być środki uzyskane z Polskiego Ładu przez Gmin</w:t>
      </w:r>
      <w:r w:rsidR="00484207">
        <w:rPr>
          <w:rFonts w:eastAsia="Times New Roman"/>
        </w:rPr>
        <w:t>ę</w:t>
      </w:r>
      <w:r>
        <w:rPr>
          <w:rFonts w:eastAsia="Times New Roman"/>
        </w:rPr>
        <w:t xml:space="preserve"> na budowę i wyposażenie nowego przedszkola w części dot. nowoutworzonych miejsc wychowania przedszkolnego?</w:t>
      </w:r>
    </w:p>
    <w:p w14:paraId="6CE052D4" w14:textId="15D2B70F" w:rsidR="00E56785" w:rsidRDefault="00E56785" w:rsidP="00E56785">
      <w:pPr>
        <w:spacing w:line="276" w:lineRule="auto"/>
        <w:rPr>
          <w:b/>
          <w:szCs w:val="22"/>
        </w:rPr>
      </w:pPr>
      <w:r w:rsidRPr="00E56785">
        <w:rPr>
          <w:b/>
          <w:szCs w:val="22"/>
        </w:rPr>
        <w:t>Odpowiedź z 16.01.2026</w:t>
      </w:r>
    </w:p>
    <w:p w14:paraId="7EF9E229" w14:textId="77777777" w:rsidR="00E56785" w:rsidRPr="00E56785" w:rsidRDefault="00E56785" w:rsidP="00E56785">
      <w:pPr>
        <w:spacing w:line="276" w:lineRule="auto"/>
        <w:rPr>
          <w:rFonts w:cs="Calibri"/>
          <w:szCs w:val="22"/>
        </w:rPr>
      </w:pPr>
      <w:r w:rsidRPr="00E56785">
        <w:t xml:space="preserve">Zgodnie z Regulaminem konkursu (część 2.3.1 Tworzenie miejsc edukacji przedszkolnej pkt. 8) Wnioskodawca wnosi do projektu wkład własny, który może pochodzić z różnych źródeł, w tym ze środków prywatnych lub budżetu jednostki samorządu terytorialnego, pod warunkiem, że nie są to środki, o których mowa w pkt 7 ww. Regulaminu. Niemniej we wniosku o dofinansowanie przy uzasadnieniu wydatku, należy jednoznacznie wskazać źródło finansowania danego wydatku. </w:t>
      </w:r>
    </w:p>
    <w:p w14:paraId="4FC57677" w14:textId="53664D68" w:rsidR="00E56785" w:rsidRPr="00E56785" w:rsidRDefault="00E56785" w:rsidP="00E56785">
      <w:pPr>
        <w:spacing w:line="276" w:lineRule="auto"/>
      </w:pPr>
      <w:r w:rsidRPr="00E56785">
        <w:t>W przypadku wnoszenia wkładu np. w postaci środków uzyskanych z programu Polski Ład, należy pamiętać, iż muszą być one ponoszone w okresie realizacji projektu, w ramach zadań jako konkretne wydatki  związane z realizacją projektu.</w:t>
      </w:r>
    </w:p>
    <w:sectPr w:rsidR="00E56785" w:rsidRPr="00E56785"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7CC2965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A94"/>
    <w:multiLevelType w:val="hybridMultilevel"/>
    <w:tmpl w:val="72A22C42"/>
    <w:lvl w:ilvl="0" w:tplc="8BCEC8FE">
      <w:start w:val="2"/>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D0DBD"/>
    <w:multiLevelType w:val="hybridMultilevel"/>
    <w:tmpl w:val="782E07CE"/>
    <w:lvl w:ilvl="0" w:tplc="DF7E7752">
      <w:start w:val="1"/>
      <w:numFmt w:val="bullet"/>
      <w:lvlText w:val="•"/>
      <w:lvlJc w:val="left"/>
      <w:pPr>
        <w:tabs>
          <w:tab w:val="num" w:pos="720"/>
        </w:tabs>
        <w:ind w:left="720" w:hanging="360"/>
      </w:pPr>
      <w:rPr>
        <w:rFonts w:ascii="Arial" w:hAnsi="Arial" w:cs="Times New Roman" w:hint="default"/>
      </w:rPr>
    </w:lvl>
    <w:lvl w:ilvl="1" w:tplc="F920E0FE">
      <w:start w:val="1"/>
      <w:numFmt w:val="bullet"/>
      <w:lvlText w:val="•"/>
      <w:lvlJc w:val="left"/>
      <w:pPr>
        <w:tabs>
          <w:tab w:val="num" w:pos="1440"/>
        </w:tabs>
        <w:ind w:left="1440" w:hanging="360"/>
      </w:pPr>
      <w:rPr>
        <w:rFonts w:ascii="Arial" w:hAnsi="Arial" w:cs="Times New Roman" w:hint="default"/>
      </w:rPr>
    </w:lvl>
    <w:lvl w:ilvl="2" w:tplc="EEC23AFE">
      <w:start w:val="1"/>
      <w:numFmt w:val="bullet"/>
      <w:lvlText w:val="•"/>
      <w:lvlJc w:val="left"/>
      <w:pPr>
        <w:tabs>
          <w:tab w:val="num" w:pos="2160"/>
        </w:tabs>
        <w:ind w:left="2160" w:hanging="360"/>
      </w:pPr>
      <w:rPr>
        <w:rFonts w:ascii="Arial" w:hAnsi="Arial" w:cs="Times New Roman" w:hint="default"/>
      </w:rPr>
    </w:lvl>
    <w:lvl w:ilvl="3" w:tplc="A29CE15E">
      <w:start w:val="1"/>
      <w:numFmt w:val="bullet"/>
      <w:lvlText w:val="•"/>
      <w:lvlJc w:val="left"/>
      <w:pPr>
        <w:tabs>
          <w:tab w:val="num" w:pos="2880"/>
        </w:tabs>
        <w:ind w:left="2880" w:hanging="360"/>
      </w:pPr>
      <w:rPr>
        <w:rFonts w:ascii="Arial" w:hAnsi="Arial" w:cs="Times New Roman" w:hint="default"/>
      </w:rPr>
    </w:lvl>
    <w:lvl w:ilvl="4" w:tplc="6332DEA8">
      <w:start w:val="1"/>
      <w:numFmt w:val="bullet"/>
      <w:lvlText w:val="•"/>
      <w:lvlJc w:val="left"/>
      <w:pPr>
        <w:tabs>
          <w:tab w:val="num" w:pos="3600"/>
        </w:tabs>
        <w:ind w:left="3600" w:hanging="360"/>
      </w:pPr>
      <w:rPr>
        <w:rFonts w:ascii="Arial" w:hAnsi="Arial" w:cs="Times New Roman" w:hint="default"/>
      </w:rPr>
    </w:lvl>
    <w:lvl w:ilvl="5" w:tplc="6EA04B3E">
      <w:start w:val="1"/>
      <w:numFmt w:val="bullet"/>
      <w:lvlText w:val="•"/>
      <w:lvlJc w:val="left"/>
      <w:pPr>
        <w:tabs>
          <w:tab w:val="num" w:pos="4320"/>
        </w:tabs>
        <w:ind w:left="4320" w:hanging="360"/>
      </w:pPr>
      <w:rPr>
        <w:rFonts w:ascii="Arial" w:hAnsi="Arial" w:cs="Times New Roman" w:hint="default"/>
      </w:rPr>
    </w:lvl>
    <w:lvl w:ilvl="6" w:tplc="F928FA64">
      <w:start w:val="1"/>
      <w:numFmt w:val="bullet"/>
      <w:lvlText w:val="•"/>
      <w:lvlJc w:val="left"/>
      <w:pPr>
        <w:tabs>
          <w:tab w:val="num" w:pos="5040"/>
        </w:tabs>
        <w:ind w:left="5040" w:hanging="360"/>
      </w:pPr>
      <w:rPr>
        <w:rFonts w:ascii="Arial" w:hAnsi="Arial" w:cs="Times New Roman" w:hint="default"/>
      </w:rPr>
    </w:lvl>
    <w:lvl w:ilvl="7" w:tplc="8632C852">
      <w:start w:val="1"/>
      <w:numFmt w:val="bullet"/>
      <w:lvlText w:val="•"/>
      <w:lvlJc w:val="left"/>
      <w:pPr>
        <w:tabs>
          <w:tab w:val="num" w:pos="5760"/>
        </w:tabs>
        <w:ind w:left="5760" w:hanging="360"/>
      </w:pPr>
      <w:rPr>
        <w:rFonts w:ascii="Arial" w:hAnsi="Arial" w:cs="Times New Roman" w:hint="default"/>
      </w:rPr>
    </w:lvl>
    <w:lvl w:ilvl="8" w:tplc="8A7AEAB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91A12E5"/>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D551D6"/>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AD2DC9"/>
    <w:multiLevelType w:val="hybridMultilevel"/>
    <w:tmpl w:val="D6EA8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351DB8"/>
    <w:multiLevelType w:val="hybridMultilevel"/>
    <w:tmpl w:val="BDE69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4"/>
  </w:num>
  <w:num w:numId="3">
    <w:abstractNumId w:val="7"/>
  </w:num>
  <w:num w:numId="4">
    <w:abstractNumId w:val="0"/>
  </w:num>
  <w:num w:numId="5">
    <w:abstractNumId w:val="5"/>
  </w:num>
  <w:num w:numId="6">
    <w:abstractNumId w:val="3"/>
  </w:num>
  <w:num w:numId="7">
    <w:abstractNumId w:val="1"/>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C148B5E-9C09-4FCA-B698-3C1523E2B8D7}"/>
  </w:docVars>
  <w:rsids>
    <w:rsidRoot w:val="007D5B08"/>
    <w:rsid w:val="000108E4"/>
    <w:rsid w:val="0001247D"/>
    <w:rsid w:val="000147A8"/>
    <w:rsid w:val="000254A2"/>
    <w:rsid w:val="00042FCE"/>
    <w:rsid w:val="0005028D"/>
    <w:rsid w:val="000570BD"/>
    <w:rsid w:val="00061B71"/>
    <w:rsid w:val="00074515"/>
    <w:rsid w:val="0007486D"/>
    <w:rsid w:val="0007670B"/>
    <w:rsid w:val="00083CC4"/>
    <w:rsid w:val="000A555C"/>
    <w:rsid w:val="000D1450"/>
    <w:rsid w:val="000D4007"/>
    <w:rsid w:val="000D5470"/>
    <w:rsid w:val="000F5D46"/>
    <w:rsid w:val="000F6259"/>
    <w:rsid w:val="00102433"/>
    <w:rsid w:val="00106171"/>
    <w:rsid w:val="0011058C"/>
    <w:rsid w:val="001142F7"/>
    <w:rsid w:val="00152AFA"/>
    <w:rsid w:val="00161971"/>
    <w:rsid w:val="0017112E"/>
    <w:rsid w:val="00182097"/>
    <w:rsid w:val="001B1BA6"/>
    <w:rsid w:val="001B21EC"/>
    <w:rsid w:val="001B4397"/>
    <w:rsid w:val="001D3A38"/>
    <w:rsid w:val="001E0558"/>
    <w:rsid w:val="001E336D"/>
    <w:rsid w:val="001F048B"/>
    <w:rsid w:val="001F0C72"/>
    <w:rsid w:val="001F66FF"/>
    <w:rsid w:val="00206B89"/>
    <w:rsid w:val="0022585B"/>
    <w:rsid w:val="002407A8"/>
    <w:rsid w:val="002472E4"/>
    <w:rsid w:val="00252803"/>
    <w:rsid w:val="0026701F"/>
    <w:rsid w:val="00270455"/>
    <w:rsid w:val="00275093"/>
    <w:rsid w:val="00287C2C"/>
    <w:rsid w:val="002A04C5"/>
    <w:rsid w:val="002A42B2"/>
    <w:rsid w:val="002C2082"/>
    <w:rsid w:val="002C36AA"/>
    <w:rsid w:val="002C6326"/>
    <w:rsid w:val="002D2A1F"/>
    <w:rsid w:val="002D75B9"/>
    <w:rsid w:val="002E237D"/>
    <w:rsid w:val="002E2551"/>
    <w:rsid w:val="002E34A6"/>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F1A8C"/>
    <w:rsid w:val="00406B6A"/>
    <w:rsid w:val="00407D63"/>
    <w:rsid w:val="00416E2C"/>
    <w:rsid w:val="00433317"/>
    <w:rsid w:val="004343D1"/>
    <w:rsid w:val="00462710"/>
    <w:rsid w:val="00467B7D"/>
    <w:rsid w:val="00472EF4"/>
    <w:rsid w:val="00482F90"/>
    <w:rsid w:val="00484207"/>
    <w:rsid w:val="004851AC"/>
    <w:rsid w:val="00486763"/>
    <w:rsid w:val="004A6B41"/>
    <w:rsid w:val="004A7E2C"/>
    <w:rsid w:val="004B3014"/>
    <w:rsid w:val="004C41E2"/>
    <w:rsid w:val="004D7564"/>
    <w:rsid w:val="004E643F"/>
    <w:rsid w:val="005062BD"/>
    <w:rsid w:val="005165E1"/>
    <w:rsid w:val="005202CB"/>
    <w:rsid w:val="005247C7"/>
    <w:rsid w:val="00534D4B"/>
    <w:rsid w:val="00541F2B"/>
    <w:rsid w:val="0054334C"/>
    <w:rsid w:val="00564C6E"/>
    <w:rsid w:val="0057507E"/>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663A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20CB5"/>
    <w:rsid w:val="00730D5B"/>
    <w:rsid w:val="007310C7"/>
    <w:rsid w:val="00736558"/>
    <w:rsid w:val="00736F8E"/>
    <w:rsid w:val="00736FA8"/>
    <w:rsid w:val="007455A7"/>
    <w:rsid w:val="00756341"/>
    <w:rsid w:val="00765D8C"/>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462A"/>
    <w:rsid w:val="00805A10"/>
    <w:rsid w:val="008110D1"/>
    <w:rsid w:val="008233EB"/>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B41BEB"/>
    <w:rsid w:val="00B5611F"/>
    <w:rsid w:val="00B56F34"/>
    <w:rsid w:val="00B71300"/>
    <w:rsid w:val="00B76B78"/>
    <w:rsid w:val="00B77A82"/>
    <w:rsid w:val="00B91B93"/>
    <w:rsid w:val="00BA2247"/>
    <w:rsid w:val="00BA6FDE"/>
    <w:rsid w:val="00BB73D2"/>
    <w:rsid w:val="00BC7EAA"/>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D2196"/>
    <w:rsid w:val="00CD55E8"/>
    <w:rsid w:val="00CF7035"/>
    <w:rsid w:val="00D12D17"/>
    <w:rsid w:val="00D2542E"/>
    <w:rsid w:val="00D25655"/>
    <w:rsid w:val="00D4187E"/>
    <w:rsid w:val="00D41DED"/>
    <w:rsid w:val="00D5202E"/>
    <w:rsid w:val="00D548F0"/>
    <w:rsid w:val="00D5631A"/>
    <w:rsid w:val="00D6636D"/>
    <w:rsid w:val="00D92E27"/>
    <w:rsid w:val="00DA2307"/>
    <w:rsid w:val="00DA4879"/>
    <w:rsid w:val="00DB0DD1"/>
    <w:rsid w:val="00DB2323"/>
    <w:rsid w:val="00DD3C56"/>
    <w:rsid w:val="00DD5843"/>
    <w:rsid w:val="00DE1F41"/>
    <w:rsid w:val="00DE62F6"/>
    <w:rsid w:val="00DF384F"/>
    <w:rsid w:val="00DF3A87"/>
    <w:rsid w:val="00DF7641"/>
    <w:rsid w:val="00E03928"/>
    <w:rsid w:val="00E05E15"/>
    <w:rsid w:val="00E12A80"/>
    <w:rsid w:val="00E12EC4"/>
    <w:rsid w:val="00E20831"/>
    <w:rsid w:val="00E27439"/>
    <w:rsid w:val="00E54F18"/>
    <w:rsid w:val="00E56785"/>
    <w:rsid w:val="00E57E95"/>
    <w:rsid w:val="00E61AA2"/>
    <w:rsid w:val="00E63A62"/>
    <w:rsid w:val="00E65627"/>
    <w:rsid w:val="00E9156C"/>
    <w:rsid w:val="00E97BB9"/>
    <w:rsid w:val="00EA0E22"/>
    <w:rsid w:val="00EC5DF7"/>
    <w:rsid w:val="00ED6945"/>
    <w:rsid w:val="00EE3162"/>
    <w:rsid w:val="00EE376F"/>
    <w:rsid w:val="00EF0E73"/>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D6636D"/>
    <w:pPr>
      <w:spacing w:before="100" w:beforeAutospacing="1" w:after="100" w:afterAutospacing="1" w:line="240" w:lineRule="auto"/>
      <w:outlineLvl w:val="0"/>
    </w:pPr>
    <w:rPr>
      <w:rFonts w:cs="Calibri"/>
      <w:b/>
      <w:bCs/>
      <w:kern w:val="36"/>
      <w:sz w:val="32"/>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D6636D"/>
    <w:rPr>
      <w:rFonts w:ascii="Calibri" w:hAnsi="Calibri" w:cs="Calibri"/>
      <w:b/>
      <w:bCs/>
      <w:kern w:val="36"/>
      <w:sz w:val="32"/>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59872130">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1916234111">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8B5E-9C09-4FCA-B698-3C1523E2B8D7}">
  <ds:schemaRefs>
    <ds:schemaRef ds:uri="http://www.w3.org/2001/XMLSchema"/>
  </ds:schemaRefs>
</ds:datastoreItem>
</file>

<file path=customXml/itemProps2.xml><?xml version="1.0" encoding="utf-8"?>
<ds:datastoreItem xmlns:ds="http://schemas.openxmlformats.org/officeDocument/2006/customXml" ds:itemID="{67075B7D-7C6F-42BA-99DC-8210545C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1828</Words>
  <Characters>10968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Cygert Piotr</cp:lastModifiedBy>
  <cp:revision>5</cp:revision>
  <dcterms:created xsi:type="dcterms:W3CDTF">2026-01-16T10:02:00Z</dcterms:created>
  <dcterms:modified xsi:type="dcterms:W3CDTF">2026-01-16T14:02:00Z</dcterms:modified>
</cp:coreProperties>
</file>