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B193" w14:textId="2B92759D" w:rsidR="00890E1D" w:rsidRPr="00312C71" w:rsidRDefault="00890E1D" w:rsidP="00890E1D">
      <w:pPr>
        <w:spacing w:line="360" w:lineRule="auto"/>
        <w:jc w:val="center"/>
        <w:rPr>
          <w:b/>
          <w:sz w:val="24"/>
          <w:szCs w:val="24"/>
        </w:rPr>
      </w:pPr>
      <w:r w:rsidRPr="00312C71">
        <w:rPr>
          <w:b/>
          <w:sz w:val="24"/>
          <w:szCs w:val="24"/>
        </w:rPr>
        <w:t>Nabór nr FEPM.05.0</w:t>
      </w:r>
      <w:r>
        <w:rPr>
          <w:b/>
          <w:sz w:val="24"/>
          <w:szCs w:val="24"/>
        </w:rPr>
        <w:t>7</w:t>
      </w:r>
      <w:r w:rsidRPr="00312C71">
        <w:rPr>
          <w:b/>
          <w:sz w:val="24"/>
          <w:szCs w:val="24"/>
        </w:rPr>
        <w:t>-IZ.00-001/2</w:t>
      </w:r>
      <w:r>
        <w:rPr>
          <w:b/>
          <w:sz w:val="24"/>
          <w:szCs w:val="24"/>
        </w:rPr>
        <w:t>5</w:t>
      </w:r>
    </w:p>
    <w:p w14:paraId="54BC2540" w14:textId="77777777" w:rsidR="00890E1D" w:rsidRPr="00312C71" w:rsidRDefault="00890E1D" w:rsidP="00890E1D">
      <w:pPr>
        <w:shd w:val="clear" w:color="auto" w:fill="FFFFFF"/>
        <w:spacing w:after="100" w:afterAutospacing="1" w:line="360" w:lineRule="auto"/>
        <w:outlineLvl w:val="2"/>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i odpowiedzi</w:t>
      </w:r>
    </w:p>
    <w:p w14:paraId="50EDE1B7" w14:textId="5C03CDA4"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dotyczące naboru należy kierować najpóźniej do dnia zakończenia naboru wniosków na adres poczty elektronicznej: </w:t>
      </w:r>
      <w:hyperlink r:id="rId9" w:history="1">
        <w:r w:rsidRPr="008B7FA5">
          <w:rPr>
            <w:rStyle w:val="Hipercze"/>
            <w:rFonts w:eastAsia="Times New Roman" w:cstheme="minorHAnsi"/>
            <w:sz w:val="24"/>
            <w:szCs w:val="24"/>
            <w:lang w:eastAsia="pl-PL"/>
          </w:rPr>
          <w:t>edukacja.efs@pomorskie.eu</w:t>
        </w:r>
      </w:hyperlink>
    </w:p>
    <w:p w14:paraId="50F8FEAC"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UWAGA!!!</w:t>
      </w:r>
    </w:p>
    <w:p w14:paraId="7B4EFA7A"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Każde pytanie ze strony wnioskodawcy jest rozpatrywane indywidualnie przez IZ FEP.</w:t>
      </w:r>
    </w:p>
    <w:p w14:paraId="1FEC0D0A" w14:textId="38DA8BCD"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 xml:space="preserve">W przypadku wysłania pytań w ostatnich dniach naboru należy mieć na uwadze, iż czas otrzymania odpowiedzi na zadane przez Państwa pytania może ulec wydłużeniu lub też może wiązać się </w:t>
      </w:r>
      <w:r w:rsidR="00EF0E73">
        <w:rPr>
          <w:rFonts w:eastAsia="Times New Roman" w:cstheme="minorHAnsi"/>
          <w:b/>
          <w:bCs/>
          <w:color w:val="212529"/>
          <w:sz w:val="24"/>
          <w:szCs w:val="24"/>
          <w:lang w:eastAsia="pl-PL"/>
        </w:rPr>
        <w:br/>
      </w:r>
      <w:r w:rsidRPr="00312C71">
        <w:rPr>
          <w:rFonts w:eastAsia="Times New Roman" w:cstheme="minorHAnsi"/>
          <w:b/>
          <w:bCs/>
          <w:color w:val="212529"/>
          <w:sz w:val="24"/>
          <w:szCs w:val="24"/>
          <w:lang w:eastAsia="pl-PL"/>
        </w:rPr>
        <w:t>z otrzymaniem odpowiedzi po zakończeniu naboru.</w:t>
      </w:r>
    </w:p>
    <w:p w14:paraId="7E57BF05" w14:textId="4ABD10E7" w:rsidR="00042FCE" w:rsidRPr="00340743" w:rsidRDefault="00D41DED" w:rsidP="00890E1D">
      <w:pPr>
        <w:rPr>
          <w:rFonts w:eastAsia="Times New Roman" w:cstheme="minorHAnsi"/>
          <w:b/>
          <w:sz w:val="24"/>
          <w:szCs w:val="24"/>
          <w:lang w:eastAsia="pl-PL"/>
        </w:rPr>
      </w:pPr>
      <w:r w:rsidRPr="00340743">
        <w:rPr>
          <w:rFonts w:eastAsia="Times New Roman" w:cstheme="minorHAnsi"/>
          <w:b/>
          <w:sz w:val="24"/>
          <w:szCs w:val="24"/>
          <w:lang w:eastAsia="pl-PL"/>
        </w:rPr>
        <w:t>KRYTERIA WYBORU:</w:t>
      </w:r>
    </w:p>
    <w:p w14:paraId="523E4043" w14:textId="7CE9A143" w:rsidR="00D41DED" w:rsidRPr="00730D5B" w:rsidRDefault="00D41DED" w:rsidP="00F942DF">
      <w:pPr>
        <w:pStyle w:val="Akapitzlist"/>
        <w:numPr>
          <w:ilvl w:val="0"/>
          <w:numId w:val="2"/>
        </w:numPr>
        <w:spacing w:line="276" w:lineRule="auto"/>
        <w:rPr>
          <w:szCs w:val="22"/>
        </w:rPr>
      </w:pPr>
      <w:r w:rsidRPr="00730D5B">
        <w:rPr>
          <w:szCs w:val="22"/>
        </w:rPr>
        <w:t>Czy jeżeli tworzymy w ramach projektu 10 nowych miejsc wychowania przedszkolnego to czy koszt ogółem projektu może wynieść maksymalnie 42 500zł? Chcemy zaplanować zajęcia dodatkowe dla większości dzieci w przedszkolu, chcemy zaplanować wyjazdy edukacyjne dla większości dzieci w przedszkolu, chcemy zaplanować szkolenia/studia podyplomowe dla większości nauczycieli w przedszkolu- to czy te działania muszą się zmieścić w tej kwocie 42 500zł.</w:t>
      </w:r>
    </w:p>
    <w:p w14:paraId="19E49ABF" w14:textId="2380506D" w:rsidR="00D41DED" w:rsidRPr="00D41DED" w:rsidRDefault="00D41DED" w:rsidP="00D41DED">
      <w:pPr>
        <w:spacing w:line="276" w:lineRule="auto"/>
        <w:rPr>
          <w:b/>
        </w:rPr>
      </w:pPr>
      <w:r w:rsidRPr="00D41DED">
        <w:rPr>
          <w:b/>
        </w:rPr>
        <w:t>Odpowiedź z 31.12.2025</w:t>
      </w:r>
    </w:p>
    <w:p w14:paraId="018D98F9" w14:textId="2C291057"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Zgodnie z pkt 2.4.1 Kryteria zgodności z FEP 2021-2027 i dokumentami programowymi – specyficzne, w zakresie kryterium zgodności ze szczegółowymi uwarunkowaniami określonymi dla naboru, sprawdzeniu podlega min. czy średni koszt jednostkowy odpowiadający utworzeniu nowego miejsca wychowania przedszkolnego określony został na poziomie maksymalnie 42,5 tys. zł wydatków ogółem projektu, zaś w treści</w:t>
      </w:r>
      <w:r>
        <w:rPr>
          <w:rFonts w:eastAsia="Times New Roman" w:cs="Times New Roman"/>
          <w:szCs w:val="22"/>
          <w:lang w:eastAsia="pl-PL"/>
        </w:rPr>
        <w:t xml:space="preserve"> </w:t>
      </w:r>
      <w:r w:rsidRPr="00D41DED">
        <w:rPr>
          <w:rFonts w:eastAsia="Times New Roman" w:cs="Times New Roman"/>
          <w:szCs w:val="22"/>
          <w:lang w:eastAsia="pl-PL"/>
        </w:rPr>
        <w:t xml:space="preserve">pkt </w:t>
      </w:r>
      <w:r w:rsidRPr="00D41DED">
        <w:rPr>
          <w:rFonts w:eastAsia="Times New Roman" w:cs="Times New Roman"/>
          <w:b/>
          <w:bCs/>
          <w:szCs w:val="22"/>
          <w:lang w:eastAsia="pl-PL"/>
        </w:rPr>
        <w:t>Ad 2.b.</w:t>
      </w:r>
      <w:r w:rsidR="00736558">
        <w:rPr>
          <w:rFonts w:eastAsia="Times New Roman" w:cs="Times New Roman"/>
          <w:b/>
          <w:bCs/>
          <w:szCs w:val="22"/>
          <w:lang w:eastAsia="pl-PL"/>
        </w:rPr>
        <w:t xml:space="preserve"> </w:t>
      </w:r>
      <w:r w:rsidRPr="00D41DED">
        <w:rPr>
          <w:rFonts w:eastAsia="Times New Roman" w:cs="Times New Roman"/>
          <w:b/>
          <w:bCs/>
          <w:szCs w:val="22"/>
          <w:lang w:eastAsia="pl-PL"/>
        </w:rPr>
        <w:t xml:space="preserve">(STRONA 25) </w:t>
      </w:r>
      <w:r w:rsidRPr="00D41DED">
        <w:rPr>
          <w:rFonts w:eastAsia="Times New Roman" w:cs="Times New Roman"/>
          <w:szCs w:val="22"/>
          <w:lang w:eastAsia="pl-PL"/>
        </w:rPr>
        <w:t>wskazano informacje w zakresie sposobu weryfikacji w/w kryterium :</w:t>
      </w:r>
    </w:p>
    <w:p w14:paraId="30324753" w14:textId="77777777" w:rsidR="00D41DED" w:rsidRPr="00D41DED" w:rsidRDefault="00D41DED" w:rsidP="00671776">
      <w:pPr>
        <w:spacing w:after="120" w:line="276" w:lineRule="auto"/>
        <w:rPr>
          <w:rFonts w:eastAsia="Times New Roman" w:cs="Times New Roman"/>
          <w:szCs w:val="22"/>
          <w:lang w:eastAsia="pl-PL"/>
        </w:rPr>
      </w:pPr>
      <w:r w:rsidRPr="00D41DED">
        <w:rPr>
          <w:rFonts w:eastAsia="Times New Roman" w:cs="Times New Roman"/>
          <w:b/>
          <w:bCs/>
          <w:szCs w:val="22"/>
          <w:lang w:eastAsia="pl-PL"/>
        </w:rPr>
        <w:t>„Weryfikacja spełnienia warunku polegać będzie na podzieleniu wydatków ogółem (100% wartości projektu) przez wartość wskaźnika produktu PLFCO10 – Liczba dofinansowanych miejsc wychowania przedszkolnego (sztuki). Iloraz nie może być większy od kwoty 42 500,00 zł</w:t>
      </w:r>
      <w:r w:rsidRPr="00D41DED">
        <w:rPr>
          <w:rFonts w:eastAsia="Times New Roman" w:cs="Times New Roman"/>
          <w:szCs w:val="22"/>
          <w:lang w:eastAsia="pl-PL"/>
        </w:rPr>
        <w:t>.”</w:t>
      </w:r>
    </w:p>
    <w:p w14:paraId="13E6FDD8" w14:textId="256025F0"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W związku z powyższym przy założeniu, iż wnioskodawca tworzy w ramach projektu 10 nowych miejsc wychowania przedszkolnego, koszt ogółem projektu może wynieść maksymalnie 425 000,00 zł. (słownie: czterysta dwadzieścia pięć tysięcy złotych 00/100gr) (42 500,00 zł x 10 NMP)</w:t>
      </w:r>
      <w:r w:rsidR="00F60C36">
        <w:rPr>
          <w:rFonts w:eastAsia="Times New Roman" w:cs="Times New Roman"/>
          <w:szCs w:val="22"/>
          <w:lang w:eastAsia="pl-PL"/>
        </w:rPr>
        <w:t>.</w:t>
      </w:r>
    </w:p>
    <w:p w14:paraId="1FA4F969" w14:textId="77777777" w:rsidR="00D41DED" w:rsidRPr="00D41DED" w:rsidRDefault="00D41DED" w:rsidP="00671776">
      <w:pPr>
        <w:spacing w:after="0" w:line="276" w:lineRule="auto"/>
        <w:rPr>
          <w:rFonts w:eastAsia="Times New Roman" w:cs="Times New Roman"/>
          <w:szCs w:val="22"/>
          <w:lang w:eastAsia="pl-PL"/>
        </w:rPr>
      </w:pPr>
    </w:p>
    <w:p w14:paraId="0C9A28A9" w14:textId="5E9F56C7" w:rsidR="00D41DED" w:rsidRDefault="00D41DED" w:rsidP="00671776">
      <w:pPr>
        <w:spacing w:line="276" w:lineRule="auto"/>
        <w:rPr>
          <w:rFonts w:eastAsia="Times New Roman" w:cs="Times New Roman"/>
          <w:szCs w:val="22"/>
          <w:lang w:eastAsia="pl-PL"/>
        </w:rPr>
      </w:pPr>
      <w:r w:rsidRPr="00D41DED">
        <w:rPr>
          <w:rFonts w:eastAsia="Times New Roman" w:cs="Times New Roman"/>
          <w:szCs w:val="22"/>
          <w:lang w:eastAsia="pl-PL"/>
        </w:rPr>
        <w:t>Ponadto należy mieć także na uwadze, że zgodnie z Regulaminem, w ramach przedmiotowego naboru wartość wydatków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może stanowić więcej niż 40% wartości projektu ogółem. Do limitu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wlicza się sumę kosztów bezpośrednich, oznaczonych w budżecie projektu jako wydatki objęte limitem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oraz naliczone od nich koszty pośrednie, zgodnie z właściwą stawką ryczałtową.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będą kwalifikowalne wydatki związane z budową.</w:t>
      </w:r>
    </w:p>
    <w:p w14:paraId="2EA50A6B" w14:textId="14EC72FA" w:rsidR="00805A10" w:rsidRDefault="00805A10" w:rsidP="00805A10">
      <w:pPr>
        <w:pStyle w:val="Zwykytekst"/>
      </w:pPr>
    </w:p>
    <w:p w14:paraId="21D106C2" w14:textId="7F213F2D" w:rsidR="003773A5" w:rsidRDefault="00805A10" w:rsidP="00805A10">
      <w:pPr>
        <w:pStyle w:val="Akapitzlist"/>
        <w:numPr>
          <w:ilvl w:val="0"/>
          <w:numId w:val="7"/>
        </w:numPr>
        <w:spacing w:line="276" w:lineRule="auto"/>
      </w:pPr>
      <w:r>
        <w:t>Mam pytanie w sprawie naboru o Zintegrowane Porozumienie Terytorialne.</w:t>
      </w:r>
      <w:r w:rsidR="006663A1">
        <w:t xml:space="preserve"> </w:t>
      </w:r>
      <w:r>
        <w:t xml:space="preserve">W regulaminie jest tylko ogólna  informacja w tej sprawie obwarowana liczbą punktów 22 lub 0. Jak rozumieć należy ten punkt,  jakie terytoria są preferowane,  jakie </w:t>
      </w:r>
      <w:proofErr w:type="spellStart"/>
      <w:r>
        <w:t>sa</w:t>
      </w:r>
      <w:proofErr w:type="spellEnd"/>
      <w:r>
        <w:t xml:space="preserve"> wykluczone z naboru?</w:t>
      </w:r>
    </w:p>
    <w:p w14:paraId="0B14E5EF" w14:textId="04250D46" w:rsidR="00F942DF" w:rsidRDefault="00805A10" w:rsidP="003773A5">
      <w:pPr>
        <w:spacing w:after="0" w:line="240" w:lineRule="auto"/>
        <w:rPr>
          <w:b/>
        </w:rPr>
      </w:pPr>
      <w:r w:rsidRPr="00D41DED">
        <w:rPr>
          <w:b/>
        </w:rPr>
        <w:t xml:space="preserve">Odpowiedź z </w:t>
      </w:r>
      <w:r>
        <w:rPr>
          <w:b/>
        </w:rPr>
        <w:t>12.01.2026</w:t>
      </w:r>
    </w:p>
    <w:p w14:paraId="690CF518" w14:textId="77777777" w:rsidR="00805A10" w:rsidRPr="002D42D1" w:rsidRDefault="00805A10" w:rsidP="00805A10">
      <w:pPr>
        <w:shd w:val="clear" w:color="auto" w:fill="FFFFFF"/>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lastRenderedPageBreak/>
        <w:t xml:space="preserve">Instrument Zintegrowanych Porozumień Terytorialnych (ZPT) w ramach programu Fundusze  Europejskie dla Pomorza 2021-2027 dedykowany jest pięciu obszarom funkcjonalnych (OF) wyznaczonym w Planie zagospodarowania przestrzennego województwa pomorskiego 2030 r. (PZPWP 2030) przyjętym uchwałą nr 318/XXX/16 Sejmiku Województwa Pomorskiego z dnia 29 grudnia 2016 r. </w:t>
      </w:r>
    </w:p>
    <w:p w14:paraId="391A9ADA" w14:textId="77777777" w:rsidR="00805A10" w:rsidRPr="002D42D1" w:rsidRDefault="00805A10" w:rsidP="00805A10">
      <w:pPr>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OF wyznaczone w PZPWP 2030 obejmują obszary wiejskie i małe miasta, które z uwagi na specyfikę położenia geograficznego oraz relacje funkcjonalno-przestrzenne charakteryzują się zróżnicowanymi uwarunkowaniami rozwojowymi, odmiennymi potencjałami i specyficznymi barierami. Są to OF: Bory Tucholskie (gminy: Brusy, Chojnice, Czarna Woda, Czersk, Dziemiany, Kaliska, Karsin, Konarzyny, Kościerzyna, Lipnica, Lipusz, Lubichowo, Osieczna, Osiek, m. Skórcz, gm. Skórcz, Smętowo Graniczne, Stara Kiszewa, Studzienice), Strefa Przybrzeżna (gminy:  Główczyce, Łeba, Smołdzino, m. Ustka, gm. Ustka, Wicko), Środkowe Pomorze (gminy: Czarne, Kępice, Koczała, Kołczygłowy, Miastko, Przechlewo, Rzeczenica, Trzebielino, Tuchomie), Wschodnie Powiśle (gminy: Dzierzgoń, Gardeja, Prabuty, Ryjewo, Stary Dzierzgoń, Stary Targ), Żuławy (gminy: Cedry Wielkie, Krynica Morska, Lichnowy, m. Malbork, gm. Malbork, Miłoradz , Nowy Dwór Gdański, Nowy Staw, Ostaszewo, Pruszcz Gdański, Pszczółki, Stare Pole, Stegna, Suchy Dąb, Sztutowo).</w:t>
      </w:r>
    </w:p>
    <w:p w14:paraId="4CB37F33" w14:textId="7E50BE05" w:rsidR="00805A10" w:rsidRPr="002D42D1" w:rsidRDefault="00805A10" w:rsidP="00805A10">
      <w:pPr>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Decyzja o zaprojektowaniu dedykowanej ścieżki wsparcia dla JST zlokalizowanych w OF została podjęta w Strategii Rozwoju Województwa Pomorskiego 2030 (SRWP 2030), przyjętej przez Sejmik Województwa Pomorskiego uchwałą nr 376/XXXI/21 z dnia 12 kwietnia 2021 r. Dokument ten był szeroko konsultowany społecznie w okresie od 31 stycznia do 30 czerwca 2020 r.</w:t>
      </w:r>
      <w:r w:rsidRPr="002D42D1">
        <w:rPr>
          <w:rFonts w:asciiTheme="minorHAnsi" w:hAnsiTheme="minorHAnsi" w:cstheme="minorHAnsi"/>
          <w:color w:val="212529"/>
          <w:szCs w:val="22"/>
          <w:lang w:eastAsia="pl-PL"/>
        </w:rPr>
        <w:br/>
        <w:t>Warunkiem objęcia instrumentem ZPT jest wypracowanie Zintegrowanego Porozumienia Terytorialnego pomiędzy Samorządem Województwa Pomorskiego (SWP) reprezentowanym przez Zarząd Województwa Pomorskiego (ZWP) a działającymi w partnerstwie JST ze wskazanych OF.</w:t>
      </w:r>
    </w:p>
    <w:p w14:paraId="1C7ADBE5" w14:textId="7A96BCE0" w:rsidR="00805A10" w:rsidRDefault="00805A10" w:rsidP="00BB5E6A">
      <w:pPr>
        <w:spacing w:after="360" w:line="240" w:lineRule="auto"/>
        <w:rPr>
          <w:rFonts w:eastAsia="Times New Roman" w:cstheme="minorHAnsi"/>
          <w:b/>
          <w:sz w:val="24"/>
          <w:szCs w:val="24"/>
          <w:lang w:eastAsia="pl-PL"/>
        </w:rPr>
      </w:pPr>
      <w:r w:rsidRPr="002D42D1">
        <w:rPr>
          <w:rFonts w:asciiTheme="minorHAnsi" w:hAnsiTheme="minorHAnsi" w:cstheme="minorHAnsi"/>
          <w:color w:val="212529"/>
          <w:szCs w:val="22"/>
          <w:lang w:eastAsia="pl-PL"/>
        </w:rPr>
        <w:t>Zintegrowane Porozumienie Terytorialne powinno zawierać wynegocjowaną z SWP listę projektów, które mogą uzyskać wsparcie w ramach w FEP 2021-2027. Zawarcie Porozumienia nie gwarantuje realizacji wskazanych w nim projektów. Nie przewiduje się dedykowanej alokacji dla projektów w ramach ZPT. Jednak z uwagi na skoordynowany i uspołeczniony przez partnerstwa JST w ramach OF proces wyboru projektów, mogą one uzyskać preferencje w ramach konkurencyjnego sposobu wyboru projektów w FEP 2021-2027. Projekty poza instrumentem ZPT nie mają możliwości uzyskania analogicznych preferencji na etapie ich oceny.</w:t>
      </w:r>
    </w:p>
    <w:p w14:paraId="332A4678" w14:textId="76A69D96" w:rsidR="00BB5E6A" w:rsidRDefault="00BB5E6A" w:rsidP="00BB5E6A">
      <w:pPr>
        <w:pStyle w:val="NormalnyWeb"/>
        <w:numPr>
          <w:ilvl w:val="0"/>
          <w:numId w:val="11"/>
        </w:numPr>
        <w:spacing w:after="0" w:afterAutospacing="0" w:line="276" w:lineRule="auto"/>
      </w:pPr>
      <w:r>
        <w:t>Utworzenie nowych miejsc wychowania przedszkolnego jest obligatoryjnym elementem Działania 5.7 Edukacja przedszkolna. W związku z powyższym proszę o doprecyzowanie, w jaki sposób będzie weryfikowane spełnienie tego warunku. Nawet przy prawidłowo przeprowadzonej diagnozie potrzeb, liczba dzieci korzystających z wychowania przedszkolnego ma charakter zmienny i zależny od wielu czynników (m.in. migracje rodzin, sytuacja demograficzna, decyzje rodziców). Na przykład w momencie rekrutacji liczba dzieci wynosiła ok. 30, natomiast obecnie jest to 19 dzieci – w międzyczasie część dzieci odeszła, a inne zostały przyjęte.</w:t>
      </w:r>
      <w:r>
        <w:t xml:space="preserve"> </w:t>
      </w:r>
    </w:p>
    <w:p w14:paraId="3F037163" w14:textId="797D12AE" w:rsidR="00F942DF" w:rsidRDefault="00BB5E6A" w:rsidP="00BB5E6A">
      <w:pPr>
        <w:pStyle w:val="Akapitzlist"/>
        <w:spacing w:after="0" w:line="276" w:lineRule="auto"/>
        <w:rPr>
          <w:rFonts w:eastAsia="Times New Roman" w:cstheme="minorHAnsi"/>
          <w:b/>
          <w:sz w:val="24"/>
          <w:szCs w:val="24"/>
          <w:lang w:eastAsia="pl-PL"/>
        </w:rPr>
      </w:pPr>
      <w:r>
        <w:t>W związk</w:t>
      </w:r>
      <w:bookmarkStart w:id="0" w:name="_GoBack"/>
      <w:bookmarkEnd w:id="0"/>
      <w:r>
        <w:t xml:space="preserve">u z powyższym proszę o potwierdzenie, czy w przypadku zadeklarowania utworzenia np. </w:t>
      </w:r>
      <w:r>
        <w:br/>
        <w:t>3 nowych miejsc wychowania przedszkolnego, warunek ten będzie uznany za spełniony poprzez utrzymanie gotowości organizacyjnej placówki do świadczenia usług w ramach tych miejsc, czy też wymagane jest ich faktyczne i nieprzerwane obsadzenie dziećmi, przy jednoczesnym zachowaniu dotychczasowej liczby wychowanków.</w:t>
      </w:r>
    </w:p>
    <w:p w14:paraId="4E429D7D" w14:textId="6CA09D0C" w:rsidR="00BB5E6A" w:rsidRDefault="00BB5E6A" w:rsidP="00BB5E6A">
      <w:pPr>
        <w:pStyle w:val="Akapitzlist"/>
        <w:spacing w:after="0" w:line="276" w:lineRule="auto"/>
        <w:rPr>
          <w:rFonts w:eastAsia="Times New Roman" w:cstheme="minorHAnsi"/>
          <w:b/>
          <w:sz w:val="24"/>
          <w:szCs w:val="24"/>
          <w:lang w:eastAsia="pl-PL"/>
        </w:rPr>
      </w:pPr>
    </w:p>
    <w:p w14:paraId="68B5D0FD" w14:textId="12DFF16F" w:rsidR="00BB5E6A" w:rsidRPr="00BB5E6A" w:rsidRDefault="00BB5E6A" w:rsidP="00BB5E6A">
      <w:pPr>
        <w:spacing w:after="480" w:line="276" w:lineRule="auto"/>
        <w:rPr>
          <w:rFonts w:eastAsia="Times New Roman" w:cstheme="minorHAnsi"/>
          <w:b/>
          <w:sz w:val="24"/>
          <w:szCs w:val="24"/>
          <w:lang w:eastAsia="pl-PL"/>
        </w:rPr>
      </w:pPr>
      <w:r w:rsidRPr="00BB5E6A">
        <w:rPr>
          <w:b/>
        </w:rPr>
        <w:t xml:space="preserve">Odpowiedź z </w:t>
      </w:r>
      <w:r>
        <w:rPr>
          <w:b/>
        </w:rPr>
        <w:t>20</w:t>
      </w:r>
      <w:r w:rsidRPr="00BB5E6A">
        <w:rPr>
          <w:b/>
        </w:rPr>
        <w:t>.01.2026</w:t>
      </w:r>
      <w:r>
        <w:rPr>
          <w:b/>
        </w:rPr>
        <w:br/>
      </w:r>
      <w:r>
        <w:rPr>
          <w:b/>
        </w:rPr>
        <w:br/>
      </w:r>
      <w:bookmarkStart w:id="1" w:name="_Hlk219723693"/>
      <w:r w:rsidRPr="00D41185">
        <w:t xml:space="preserve">Zgodnie z Regulaminem konkursu (część 2.3.4. Zasady przeprowadzenia diagnozy) warunkiem realizacji działań w zakresie upowszechniania edukacji przedszkolnej jest przeprowadzenie przez wnioskodawcę diagnozy, obejmującej </w:t>
      </w:r>
      <w:r w:rsidRPr="00D41185">
        <w:rPr>
          <w:b/>
          <w:bCs/>
        </w:rPr>
        <w:t>faktyczne oraz prognozowane zapotrzebowanie</w:t>
      </w:r>
      <w:r w:rsidRPr="00D41185">
        <w:t xml:space="preserve"> na usługi edukacji przedszkolnej z uwzględnieniem odniesienia do istniejących miejsc przedszkolnych. Wsparcie w powyższym zakresie musi skutkować </w:t>
      </w:r>
      <w:r w:rsidRPr="00D41185">
        <w:rPr>
          <w:b/>
          <w:bCs/>
        </w:rPr>
        <w:t>zwiększeniem liczby miejsc przedszkolnych podlegających pod konkretny organ prowadzący na terenie danej gminy</w:t>
      </w:r>
      <w:r w:rsidRPr="00D41185">
        <w:t xml:space="preserve"> w stosunku do danych z roku poprzedzającego rok rozpoczęcia realizacji projektu. W związku z powyższym Wnioskodawca jest zobowiązany do założenia wartości docelowych wskaźników adekwatnie do zapotrzebowania wynikającego z  przeprowadzonej </w:t>
      </w:r>
      <w:r w:rsidRPr="00D41185">
        <w:lastRenderedPageBreak/>
        <w:t>diagnozy, również w kontekście zachowani</w:t>
      </w:r>
      <w:r>
        <w:t>a</w:t>
      </w:r>
      <w:r w:rsidRPr="00D41185">
        <w:t xml:space="preserve"> trwałości projektu. Przez nowe miejsca należy rozumieć instytucjonalną gotowość do objęcia edukacją przedszkolną danej liczby dzieci, tj. jeśli przed realizacją projektu organ prowadzący był gotowy na objęcie edukacją przedszkolną np. 30 dzieci, to w wyniku realizacji projektu liczba ta powinna ulec zwiększeniu. Zgodnie z zapisami  wzoru Umowy o dofinansowanie (załącznik nr 5 do regulaminu) Beneficjent odpowiada za realizację Projektu zgodnie z wnioskiem, w tym za osiągnięcie zadeklarowanych wskaźników produktu oraz rezultatu określonych we wniosku; Beneficjent powinien mieć na uwadze, że niewykonanie wskaźnika zadeklarowanego we wniosku może stanowić przesłankę do stwierdzenia nieprawidłowości indywidualnej zgodnie z art. 28 ust. 7 ustawy wdrożeniowej.</w:t>
      </w:r>
      <w:bookmarkEnd w:id="1"/>
    </w:p>
    <w:p w14:paraId="280EF7B7" w14:textId="27A41066" w:rsidR="003773A5" w:rsidRDefault="00F942DF" w:rsidP="003773A5">
      <w:pPr>
        <w:spacing w:after="0" w:line="240" w:lineRule="auto"/>
        <w:rPr>
          <w:rFonts w:eastAsia="Times New Roman" w:cstheme="minorHAnsi"/>
          <w:b/>
          <w:sz w:val="24"/>
          <w:szCs w:val="24"/>
          <w:lang w:eastAsia="pl-PL"/>
        </w:rPr>
      </w:pPr>
      <w:r>
        <w:rPr>
          <w:rFonts w:eastAsia="Times New Roman" w:cstheme="minorHAnsi"/>
          <w:b/>
          <w:sz w:val="24"/>
          <w:szCs w:val="24"/>
          <w:lang w:eastAsia="pl-PL"/>
        </w:rPr>
        <w:t>KWALIFIKOWALNOŚĆ WYDATKÓW</w:t>
      </w:r>
      <w:r w:rsidR="003773A5" w:rsidRPr="00340743">
        <w:rPr>
          <w:rFonts w:eastAsia="Times New Roman" w:cstheme="minorHAnsi"/>
          <w:b/>
          <w:sz w:val="24"/>
          <w:szCs w:val="24"/>
          <w:lang w:eastAsia="pl-PL"/>
        </w:rPr>
        <w:t>:</w:t>
      </w:r>
    </w:p>
    <w:p w14:paraId="385CA4F3" w14:textId="77777777" w:rsidR="003773A5" w:rsidRDefault="003773A5" w:rsidP="003773A5">
      <w:pPr>
        <w:spacing w:after="0" w:line="240" w:lineRule="auto"/>
        <w:rPr>
          <w:rFonts w:eastAsia="Times New Roman" w:cs="Times New Roman"/>
          <w:szCs w:val="22"/>
          <w:lang w:eastAsia="pl-PL"/>
        </w:rPr>
      </w:pPr>
    </w:p>
    <w:p w14:paraId="34120BCC" w14:textId="5924227E" w:rsidR="003773A5" w:rsidRPr="00F942DF" w:rsidRDefault="003773A5" w:rsidP="00F942DF">
      <w:pPr>
        <w:pStyle w:val="Akapitzlist"/>
        <w:numPr>
          <w:ilvl w:val="0"/>
          <w:numId w:val="3"/>
        </w:numPr>
        <w:spacing w:after="0" w:line="240" w:lineRule="auto"/>
        <w:rPr>
          <w:rFonts w:eastAsia="Times New Roman" w:cs="Times New Roman"/>
          <w:szCs w:val="22"/>
          <w:lang w:eastAsia="pl-PL"/>
        </w:rPr>
      </w:pPr>
      <w:r w:rsidRPr="00F942DF">
        <w:rPr>
          <w:rFonts w:eastAsia="Times New Roman" w:cs="Times New Roman"/>
          <w:szCs w:val="22"/>
          <w:lang w:eastAsia="pl-PL"/>
        </w:rPr>
        <w:t>Czy jest możliwe sfinansowanie w ramach konkursu napraw</w:t>
      </w:r>
      <w:r w:rsidR="00EF0E73">
        <w:rPr>
          <w:rFonts w:eastAsia="Times New Roman" w:cs="Times New Roman"/>
          <w:szCs w:val="22"/>
          <w:lang w:eastAsia="pl-PL"/>
        </w:rPr>
        <w:t>y</w:t>
      </w:r>
      <w:r w:rsidRPr="00F942DF">
        <w:rPr>
          <w:rFonts w:eastAsia="Times New Roman" w:cs="Times New Roman"/>
          <w:szCs w:val="22"/>
          <w:lang w:eastAsia="pl-PL"/>
        </w:rPr>
        <w:t>/wymian</w:t>
      </w:r>
      <w:r w:rsidR="00EF0E73">
        <w:rPr>
          <w:rFonts w:eastAsia="Times New Roman" w:cs="Times New Roman"/>
          <w:szCs w:val="22"/>
          <w:lang w:eastAsia="pl-PL"/>
        </w:rPr>
        <w:t>y</w:t>
      </w:r>
      <w:r w:rsidRPr="00F942DF">
        <w:rPr>
          <w:rFonts w:eastAsia="Times New Roman" w:cs="Times New Roman"/>
          <w:szCs w:val="22"/>
          <w:lang w:eastAsia="pl-PL"/>
        </w:rPr>
        <w:t xml:space="preserve"> dachu w ośrodku wych</w:t>
      </w:r>
      <w:r w:rsidR="00EF0E73">
        <w:rPr>
          <w:rFonts w:eastAsia="Times New Roman" w:cs="Times New Roman"/>
          <w:szCs w:val="22"/>
          <w:lang w:eastAsia="pl-PL"/>
        </w:rPr>
        <w:t xml:space="preserve">owania </w:t>
      </w:r>
      <w:r w:rsidRPr="00F942DF">
        <w:rPr>
          <w:rFonts w:eastAsia="Times New Roman" w:cs="Times New Roman"/>
          <w:szCs w:val="22"/>
          <w:lang w:eastAsia="pl-PL"/>
        </w:rPr>
        <w:t xml:space="preserve">przedszkolnego. </w:t>
      </w:r>
    </w:p>
    <w:p w14:paraId="335B6149" w14:textId="77777777" w:rsidR="003773A5" w:rsidRPr="003773A5" w:rsidRDefault="003773A5" w:rsidP="003773A5">
      <w:pPr>
        <w:spacing w:after="0" w:line="240" w:lineRule="auto"/>
        <w:rPr>
          <w:rFonts w:eastAsia="Times New Roman" w:cs="Times New Roman"/>
          <w:szCs w:val="22"/>
          <w:lang w:eastAsia="pl-PL"/>
        </w:rPr>
      </w:pPr>
    </w:p>
    <w:p w14:paraId="53AFEEA2" w14:textId="700F941E" w:rsidR="003773A5" w:rsidRPr="003773A5" w:rsidRDefault="003773A5" w:rsidP="003773A5">
      <w:pPr>
        <w:spacing w:after="0" w:line="240" w:lineRule="auto"/>
        <w:rPr>
          <w:rFonts w:eastAsia="Times New Roman" w:cs="Times New Roman"/>
          <w:b/>
          <w:szCs w:val="22"/>
          <w:lang w:eastAsia="pl-PL"/>
        </w:rPr>
      </w:pPr>
      <w:r w:rsidRPr="003773A5">
        <w:rPr>
          <w:rFonts w:eastAsia="Times New Roman" w:cs="Times New Roman"/>
          <w:b/>
          <w:szCs w:val="22"/>
          <w:lang w:eastAsia="pl-PL"/>
        </w:rPr>
        <w:t xml:space="preserve">Odpowiedź z 08.01.2025 </w:t>
      </w:r>
    </w:p>
    <w:p w14:paraId="1F6290C6" w14:textId="77777777" w:rsidR="003773A5" w:rsidRPr="003773A5" w:rsidRDefault="003773A5" w:rsidP="003773A5">
      <w:pPr>
        <w:spacing w:after="0" w:line="240" w:lineRule="auto"/>
        <w:rPr>
          <w:rFonts w:eastAsia="Times New Roman" w:cs="Times New Roman"/>
          <w:szCs w:val="22"/>
          <w:lang w:eastAsia="pl-PL"/>
        </w:rPr>
      </w:pPr>
    </w:p>
    <w:p w14:paraId="2358C031" w14:textId="77777777"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 xml:space="preserve">Zgodnie z  Regulaminem wyboru projektów, w ramach działań ukierunkowanych na tworzenie miejsc wychowania przedszkolnego kwalifikowalne są wydatki dotyczące adaptacji (prace remontowo-wykończeniowe) lub dostosowania budynków lub pomieszczeń, w tym m.in. dostosowanie do wymogów budowlanych, sanitarno-higienicznych. W związku z powyższym zewnętrzna naprawa/ wymiana dachu nie będzie stanowiła wydatku kwalifikowalnego w ramach projektu. Z kolei wewnętrzna ingerencja w naprawę dachu może stanowić wydatek kwalifikowalny, proporcjonalnie do liczby utworzonych miejsc wychowania przedszkolnego w danym OWP w ramach realizacji projektu. </w:t>
      </w:r>
    </w:p>
    <w:p w14:paraId="1ED1DD7D" w14:textId="622644A2"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Jednocześnie przypominamy, że ocena kwalifikowalności wydatku, a więc jego racjonalności i zasadności następuje na etapie oceny projektu oraz rozliczenia wydatku w trakcie realizacji projektu.</w:t>
      </w:r>
    </w:p>
    <w:p w14:paraId="06277DCE" w14:textId="579CD9CC" w:rsidR="003773A5" w:rsidRDefault="003773A5" w:rsidP="00671776">
      <w:pPr>
        <w:spacing w:line="276" w:lineRule="auto"/>
      </w:pPr>
    </w:p>
    <w:p w14:paraId="375C5DDF" w14:textId="0A87E585" w:rsidR="002A04C5" w:rsidRDefault="002A04C5" w:rsidP="00671776">
      <w:pPr>
        <w:spacing w:line="276" w:lineRule="auto"/>
      </w:pPr>
      <w:r>
        <w:rPr>
          <w:rFonts w:eastAsia="Times New Roman" w:cstheme="minorHAnsi"/>
          <w:b/>
          <w:sz w:val="24"/>
          <w:szCs w:val="24"/>
          <w:lang w:eastAsia="pl-PL"/>
        </w:rPr>
        <w:t>DZIAŁANIA</w:t>
      </w:r>
      <w:r w:rsidRPr="00340743">
        <w:rPr>
          <w:rFonts w:eastAsia="Times New Roman" w:cstheme="minorHAnsi"/>
          <w:b/>
          <w:sz w:val="24"/>
          <w:szCs w:val="24"/>
          <w:lang w:eastAsia="pl-PL"/>
        </w:rPr>
        <w:t>:</w:t>
      </w:r>
    </w:p>
    <w:p w14:paraId="5C3D8F26" w14:textId="0D02A0AC" w:rsidR="002A04C5" w:rsidRPr="00EF1F15" w:rsidRDefault="00EF0E73" w:rsidP="002A04C5">
      <w:pPr>
        <w:pStyle w:val="Zwykytekst"/>
        <w:numPr>
          <w:ilvl w:val="0"/>
          <w:numId w:val="4"/>
        </w:numPr>
        <w:spacing w:line="276" w:lineRule="auto"/>
      </w:pPr>
      <w:r>
        <w:t>P</w:t>
      </w:r>
      <w:r w:rsidR="002A04C5" w:rsidRPr="00EF1F15">
        <w:t>ytanie dot. zapisu w regulaminie na str. 15</w:t>
      </w:r>
      <w:r w:rsidR="002A04C5">
        <w:t>:</w:t>
      </w:r>
    </w:p>
    <w:p w14:paraId="45BC1FF4" w14:textId="39B8F6FE" w:rsidR="002A04C5" w:rsidRPr="00EF1F15" w:rsidRDefault="002A04C5" w:rsidP="002A04C5">
      <w:pPr>
        <w:pStyle w:val="Zwykytekst"/>
        <w:spacing w:line="276" w:lineRule="auto"/>
      </w:pPr>
      <w:r w:rsidRPr="00EF1F15">
        <w:t>W stosunku do nowo utworzonych miejsc w ramach projektu podmiot nie może występować o dotację z budżetu gminy w okresie realizacji projektu, gdyż wydatki na finansowanie działalności bieżącej są pokrywane ze środków projektowych. Wnioskodawca może natomiast nadal uzyskiwać dotacje z budżetu gminy wobec dotychczasowej (pozostałej) liczby dzieci objętych wychowaniem przedszkolnym. Po zakończeniu finansowania projektowego możliwe jest uzyskanie dotacji także na dzieci korzystające wcześniej z miejsc przedszkolnych utworzonych z EFS+.</w:t>
      </w:r>
    </w:p>
    <w:p w14:paraId="7670C334" w14:textId="77777777" w:rsidR="002A04C5" w:rsidRDefault="002A04C5" w:rsidP="002A04C5">
      <w:pPr>
        <w:pStyle w:val="Zwykytekst"/>
        <w:spacing w:line="276" w:lineRule="auto"/>
      </w:pPr>
    </w:p>
    <w:p w14:paraId="5D22A370" w14:textId="07E850CF" w:rsidR="002A04C5" w:rsidRDefault="002A04C5" w:rsidP="006C1EE1">
      <w:pPr>
        <w:pStyle w:val="Zwykytekst"/>
        <w:spacing w:line="276" w:lineRule="auto"/>
      </w:pPr>
      <w:r w:rsidRPr="00EF1F15">
        <w:t>Czy organ prowadzący przedszkole niepubliczne może wziąć dotację z urzędu miasta na wydatki, których nie pokryje budżet projektu w odniesieniu do nowych miejsc wychowania przedszkolnego utworzonych w ramach projektu? Tym samym nie zaistnieje sytuacja podwójnego finansowania tych samych wydatków.</w:t>
      </w:r>
      <w:r>
        <w:t xml:space="preserve"> </w:t>
      </w:r>
    </w:p>
    <w:p w14:paraId="11A95184" w14:textId="77777777" w:rsidR="006C1EE1" w:rsidRDefault="006C1EE1" w:rsidP="006C1EE1">
      <w:pPr>
        <w:spacing w:after="80" w:line="276" w:lineRule="auto"/>
        <w:rPr>
          <w:b/>
          <w:szCs w:val="22"/>
        </w:rPr>
      </w:pPr>
    </w:p>
    <w:p w14:paraId="2D0C241A" w14:textId="1A0A2139" w:rsidR="002A04C5" w:rsidRPr="009C4BC5" w:rsidRDefault="002A04C5" w:rsidP="006C1EE1">
      <w:pPr>
        <w:spacing w:line="276" w:lineRule="auto"/>
        <w:rPr>
          <w:b/>
          <w:szCs w:val="22"/>
        </w:rPr>
      </w:pPr>
      <w:r w:rsidRPr="002A04C5">
        <w:rPr>
          <w:b/>
          <w:szCs w:val="22"/>
        </w:rPr>
        <w:t xml:space="preserve">Odpowiedź </w:t>
      </w:r>
      <w:r w:rsidR="006C1EE1">
        <w:rPr>
          <w:b/>
          <w:szCs w:val="22"/>
        </w:rPr>
        <w:t>z</w:t>
      </w:r>
      <w:r w:rsidRPr="002A04C5">
        <w:rPr>
          <w:b/>
          <w:szCs w:val="22"/>
        </w:rPr>
        <w:t xml:space="preserve"> 08.01.2026 </w:t>
      </w:r>
    </w:p>
    <w:p w14:paraId="1A1FB1AC" w14:textId="1FAFDFB0" w:rsidR="002A04C5" w:rsidRPr="009C4BC5" w:rsidRDefault="002A04C5" w:rsidP="002A04C5">
      <w:pPr>
        <w:spacing w:line="276" w:lineRule="auto"/>
        <w:rPr>
          <w:szCs w:val="22"/>
        </w:rPr>
      </w:pPr>
      <w:r w:rsidRPr="009C4BC5">
        <w:rPr>
          <w:szCs w:val="22"/>
        </w:rPr>
        <w:t xml:space="preserve">Wnioskodawca jest </w:t>
      </w:r>
      <w:r w:rsidRPr="009C4BC5">
        <w:rPr>
          <w:b/>
          <w:bCs/>
          <w:szCs w:val="22"/>
        </w:rPr>
        <w:t>zobligowany do podjęcia decyzji</w:t>
      </w:r>
      <w:r w:rsidRPr="009C4BC5">
        <w:rPr>
          <w:szCs w:val="22"/>
        </w:rPr>
        <w:t xml:space="preserve">, czy działalność bieżąca w stosunku do nowo utworzonych miejsc w ramach projektu będzie finansowana ze środków EFS+, czy z krajowych środków publicznych i w związku </w:t>
      </w:r>
      <w:r w:rsidR="00EF0E73">
        <w:rPr>
          <w:szCs w:val="22"/>
        </w:rPr>
        <w:br/>
      </w:r>
      <w:r w:rsidRPr="009C4BC5">
        <w:rPr>
          <w:szCs w:val="22"/>
        </w:rPr>
        <w:t>z tym jest zobowiązany do zawarcia we wniosku o dofinasowanie deklaracji w tym zakresie. W sytuacji podjęcia decyzji  finansowania działalności bieżącej</w:t>
      </w:r>
      <w:r w:rsidRPr="009C4BC5">
        <w:rPr>
          <w:b/>
          <w:bCs/>
          <w:szCs w:val="22"/>
        </w:rPr>
        <w:t xml:space="preserve"> </w:t>
      </w:r>
      <w:r w:rsidRPr="009C4BC5">
        <w:rPr>
          <w:szCs w:val="22"/>
        </w:rPr>
        <w:t xml:space="preserve">ze środków EFS+ zgodnie z pkt 2.3.1 ust. 6 Regulaminu należy  we wniosku o dofinansowanie zawrzeć oświadczenie, że działalność bieżąca w zakresie projektu nie będzie dofinansowana </w:t>
      </w:r>
      <w:r w:rsidR="00EF0E73">
        <w:rPr>
          <w:szCs w:val="22"/>
        </w:rPr>
        <w:br/>
      </w:r>
      <w:r w:rsidRPr="009C4BC5">
        <w:rPr>
          <w:szCs w:val="22"/>
        </w:rPr>
        <w:t>z krajowych środków publicznych przeznaczonych na finansowanie wychowania przedszkolnego.</w:t>
      </w:r>
    </w:p>
    <w:p w14:paraId="4CEFDE6A" w14:textId="39253715" w:rsidR="002A04C5" w:rsidRPr="009C4BC5" w:rsidRDefault="002A04C5" w:rsidP="002A04C5">
      <w:pPr>
        <w:spacing w:line="276" w:lineRule="auto"/>
        <w:rPr>
          <w:szCs w:val="22"/>
          <w14:ligatures w14:val="standardContextual"/>
        </w:rPr>
      </w:pPr>
      <w:r w:rsidRPr="009C4BC5">
        <w:rPr>
          <w:szCs w:val="22"/>
        </w:rPr>
        <w:t xml:space="preserve">Powyższy warunek jest mechanizmem zapewniającym eliminowanie podwójnego finansowania tych samych wydatków, ze środków publicznych. Jednocześnie należy mieć na uwadze, że wydatki, dotyczące bieżącego </w:t>
      </w:r>
      <w:r w:rsidRPr="009C4BC5">
        <w:rPr>
          <w:szCs w:val="22"/>
        </w:rPr>
        <w:lastRenderedPageBreak/>
        <w:t xml:space="preserve">funkcjonowania stanowią katalog otwarty, a finansowanie bieżącej działalności (przez okres nie dłuższy niż </w:t>
      </w:r>
      <w:r w:rsidR="00EF0E73">
        <w:rPr>
          <w:szCs w:val="22"/>
        </w:rPr>
        <w:br/>
      </w:r>
      <w:r w:rsidRPr="009C4BC5">
        <w:rPr>
          <w:szCs w:val="22"/>
        </w:rPr>
        <w:t xml:space="preserve">12 miesięcy), dotyczyć może wyłącznie nowo utworzonych miejsc. </w:t>
      </w:r>
    </w:p>
    <w:p w14:paraId="7C2CC2E4" w14:textId="08252E80" w:rsidR="002A04C5" w:rsidRDefault="002A04C5" w:rsidP="00671776">
      <w:pPr>
        <w:spacing w:line="276" w:lineRule="auto"/>
      </w:pPr>
    </w:p>
    <w:p w14:paraId="71A2FB3E" w14:textId="2F0BF147" w:rsidR="006663A1" w:rsidRDefault="006663A1" w:rsidP="006663A1">
      <w:pPr>
        <w:rPr>
          <w:rFonts w:eastAsia="Times New Roman" w:cstheme="minorHAnsi"/>
          <w:b/>
          <w:sz w:val="24"/>
          <w:szCs w:val="24"/>
          <w:lang w:eastAsia="pl-PL"/>
        </w:rPr>
      </w:pPr>
      <w:r>
        <w:rPr>
          <w:rFonts w:eastAsia="Times New Roman" w:cstheme="minorHAnsi"/>
          <w:b/>
          <w:sz w:val="24"/>
          <w:szCs w:val="24"/>
          <w:lang w:eastAsia="pl-PL"/>
        </w:rPr>
        <w:t>BUDŻET PROJEKTU</w:t>
      </w:r>
      <w:r w:rsidRPr="00340743">
        <w:rPr>
          <w:rFonts w:eastAsia="Times New Roman" w:cstheme="minorHAnsi"/>
          <w:b/>
          <w:sz w:val="24"/>
          <w:szCs w:val="24"/>
          <w:lang w:eastAsia="pl-PL"/>
        </w:rPr>
        <w:t>:</w:t>
      </w:r>
    </w:p>
    <w:p w14:paraId="5A824CEF" w14:textId="3CED2B4D" w:rsidR="006663A1" w:rsidRPr="00E56785" w:rsidRDefault="006663A1" w:rsidP="006663A1">
      <w:pPr>
        <w:pStyle w:val="Akapitzlist"/>
        <w:numPr>
          <w:ilvl w:val="0"/>
          <w:numId w:val="8"/>
        </w:numPr>
      </w:pPr>
      <w:r w:rsidRPr="00E56785">
        <w:t>Czy w ramach konkursu przedszkolnego obowiązują limity cen na najczęściej finansowane zakupy lub usługi?</w:t>
      </w:r>
    </w:p>
    <w:p w14:paraId="1158AB86" w14:textId="77777777" w:rsidR="006663A1" w:rsidRDefault="006663A1" w:rsidP="006663A1">
      <w:pPr>
        <w:rPr>
          <w:b/>
        </w:rPr>
      </w:pPr>
      <w:r w:rsidRPr="00D41DED">
        <w:rPr>
          <w:b/>
        </w:rPr>
        <w:t xml:space="preserve">Odpowiedź z </w:t>
      </w:r>
      <w:r>
        <w:rPr>
          <w:b/>
        </w:rPr>
        <w:t>12.01.2026</w:t>
      </w:r>
    </w:p>
    <w:p w14:paraId="53CE4025" w14:textId="7FF266A4" w:rsidR="006663A1" w:rsidRPr="00D709F5" w:rsidRDefault="006663A1" w:rsidP="006663A1">
      <w:r w:rsidRPr="00D709F5">
        <w:t>Tak. W ramach naboru</w:t>
      </w:r>
      <w:r>
        <w:rPr>
          <w:b/>
        </w:rPr>
        <w:t xml:space="preserve"> </w:t>
      </w:r>
      <w:r w:rsidRPr="00310698">
        <w:t xml:space="preserve">zostały określone maksymalne stawki rynkowe najczęściej finansowanych towarów lub usług </w:t>
      </w:r>
      <w:r>
        <w:t xml:space="preserve">w postaci załącznika nr 24 do Regulaminu pn. </w:t>
      </w:r>
      <w:r w:rsidRPr="00310698">
        <w:t>Taryfikator towarów i usł</w:t>
      </w:r>
      <w:r>
        <w:t>ug.</w:t>
      </w:r>
    </w:p>
    <w:p w14:paraId="2A7FA4AF" w14:textId="77777777" w:rsidR="006663A1" w:rsidRDefault="006663A1" w:rsidP="006663A1">
      <w:r>
        <w:t>Równocześnie poziom dofinansowania jest zależny od wartości projektu, która powinna wynikać bezpośrednio z realnych potrzeb określonych na podstawie przeprowadzonej diagnozy oraz liczby uczestników planowanych do objęcia wsparciem. Wydatki w ramach budżetu projektu muszą zostać oszacowane w sposób racjonalny i efektywny, w oparciu o stawki rynkowe z uwzględnieniem stawek podanych w Taryfikatorze towarów i usług.</w:t>
      </w:r>
    </w:p>
    <w:p w14:paraId="15759282" w14:textId="35019EFB" w:rsidR="006663A1" w:rsidRDefault="006663A1" w:rsidP="006663A1">
      <w:pPr>
        <w:spacing w:line="276" w:lineRule="auto"/>
      </w:pPr>
      <w:r>
        <w:t>Jednocześnie t</w:t>
      </w:r>
      <w:r w:rsidRPr="00310698">
        <w:t>aryfikator nie stanowi katalogu zamkniętego</w:t>
      </w:r>
      <w:r>
        <w:t>. D</w:t>
      </w:r>
      <w:r w:rsidRPr="00310698">
        <w:t>opuszczalne jest ujmowanie w budżecie projektu kosztów</w:t>
      </w:r>
      <w:r>
        <w:t>, które nie zostały</w:t>
      </w:r>
      <w:r w:rsidRPr="00310698">
        <w:t xml:space="preserve"> w nim wskazan</w:t>
      </w:r>
      <w:r>
        <w:t>e</w:t>
      </w:r>
      <w:r w:rsidRPr="00310698">
        <w:t>.</w:t>
      </w:r>
      <w:r>
        <w:t xml:space="preserve"> </w:t>
      </w:r>
      <w:r w:rsidRPr="00310698">
        <w:t xml:space="preserve">Stawki </w:t>
      </w:r>
      <w:r>
        <w:t>w nim przedstawione</w:t>
      </w:r>
      <w:r w:rsidRPr="00310698">
        <w:t xml:space="preserve"> należy traktować jako maksymalne i odstępstwo możliwe jest tylko w uzasadnionych przypadkach</w:t>
      </w:r>
      <w:r>
        <w:t xml:space="preserve">, niemniej w </w:t>
      </w:r>
      <w:r w:rsidRPr="00922EF2">
        <w:t>przypadku założenia w budżecie projektu stawek wyższych, należy wyjaśnić we wniosku o dofinansowanie (w części uzasadnienie wydatków) powód odstępstwa od stawek określonych w taryfikatorze.</w:t>
      </w:r>
    </w:p>
    <w:p w14:paraId="1A3CDF20" w14:textId="60F64671" w:rsidR="00E56785" w:rsidRPr="00E56785" w:rsidRDefault="00E56785" w:rsidP="00E56785">
      <w:pPr>
        <w:pStyle w:val="Akapitzlist"/>
        <w:numPr>
          <w:ilvl w:val="0"/>
          <w:numId w:val="4"/>
        </w:numPr>
        <w:spacing w:line="276" w:lineRule="auto"/>
      </w:pPr>
      <w:r>
        <w:rPr>
          <w:rFonts w:eastAsia="Times New Roman"/>
        </w:rPr>
        <w:t>Beneficjent planuje w ramach projektu w związku z bieżącą działalnością nowo utworzonych miejsca wychowania przedszkolnego ująć wyłącznie wydatek dot. wyżywienia dzieci, który będzie stanowić wkład własny do projektu wnoszony przez rodziców dzieci objętych edukacją przedszkolną w ramach nowoutworzonych miejsc. Czy jest to dopuszczalne, a pozostałe wydatki związane z bieżącą działalnością będą finansowane z subwencji/dotacji oświatowej? (pragnę podkreślić, że wyżywienie dzieci nie może być finansowane z krajowych środków publicznych, przeznaczonych na finansowanie wychowania przedszkolnego, tj. zgodnie z ustawą o finansowaniu zadań oświatowych nie może być finansowane przez organy prowadzące inne niż JST z dotacji z budżetu gminy). Czy w przypadku odpowiedzi na powyższe pytania ma znaczenie czy Beneficjentem jest Gmina czy prywatny organ prowadzący?</w:t>
      </w:r>
    </w:p>
    <w:p w14:paraId="62F94F64" w14:textId="3757EBF7" w:rsidR="00E56785" w:rsidRPr="00E56785" w:rsidRDefault="00E56785" w:rsidP="00E56785">
      <w:pPr>
        <w:spacing w:line="276" w:lineRule="auto"/>
        <w:rPr>
          <w:b/>
          <w:szCs w:val="22"/>
        </w:rPr>
      </w:pPr>
      <w:r w:rsidRPr="00E56785">
        <w:rPr>
          <w:b/>
          <w:szCs w:val="22"/>
        </w:rPr>
        <w:t>Odpowiedź z 16.01.2026</w:t>
      </w:r>
    </w:p>
    <w:p w14:paraId="00AA3370" w14:textId="77777777" w:rsidR="00E56785" w:rsidRPr="00E56785" w:rsidRDefault="00E56785" w:rsidP="00E56785">
      <w:pPr>
        <w:spacing w:line="276" w:lineRule="auto"/>
        <w:rPr>
          <w:rFonts w:cs="Calibri"/>
          <w:szCs w:val="22"/>
        </w:rPr>
      </w:pPr>
      <w:r w:rsidRPr="00E56785">
        <w:t xml:space="preserve">Wniesienie wyżywienia jako wkładu własnego nie będzie stanowić sprzeczności z zapisami regulaminu w części 2.3.1 pkt 7. Niemniej jednak Wnioskodawca jest </w:t>
      </w:r>
      <w:r w:rsidRPr="00E56785">
        <w:rPr>
          <w:b/>
          <w:bCs/>
        </w:rPr>
        <w:t>zobligowany do podjęcia decyzji</w:t>
      </w:r>
      <w:r w:rsidRPr="00E56785">
        <w:t>, czy działalność bieżąca w stosunku do nowo utworzonych miejsc w ramach projektu będzie finansowana ze środków EFS+, czy z krajowych środków publicznych i w związku z tym jest zobowiązany do zawarcia we wniosku o dofinasowanie deklaracji w tym zakresie. W sytuacji podjęcia decyzji  finansowania działalności bieżącej</w:t>
      </w:r>
      <w:r w:rsidRPr="00E56785">
        <w:rPr>
          <w:b/>
          <w:bCs/>
        </w:rPr>
        <w:t xml:space="preserve"> </w:t>
      </w:r>
      <w:r w:rsidRPr="00E56785">
        <w:t>ze środków EFS+ zgodnie z pkt 2.3.1 ust. 6 Regulaminu należy  we wniosku o dofinansowanie zawrzeć oświadczenie, że działalność bieżąca w zakresie projektu nie będzie dofinansowana z krajowych środków publicznych przeznaczonych na finansowanie wychowania przedszkolnego.</w:t>
      </w:r>
    </w:p>
    <w:p w14:paraId="1C83F05C" w14:textId="77777777" w:rsidR="00E56785" w:rsidRPr="00E56785" w:rsidRDefault="00E56785" w:rsidP="00E56785">
      <w:pPr>
        <w:spacing w:line="276" w:lineRule="auto"/>
      </w:pPr>
      <w:r w:rsidRPr="00E56785">
        <w:t>Mając na uwadze powyższe, pozycja budżetowa dotycząca wkładu własnego w postaci wyżywienia będzie stanowić jedyną pozycję w zakresie bieżącego funkcjonowania w przypadku, gdy Wnioskodawca będzie pobierał dotację z budżetu gminy.</w:t>
      </w:r>
    </w:p>
    <w:p w14:paraId="3F1D43CC" w14:textId="77777777" w:rsidR="00E56785" w:rsidRPr="00E56785" w:rsidRDefault="00E56785" w:rsidP="00E56785">
      <w:pPr>
        <w:spacing w:line="276" w:lineRule="auto"/>
        <w:rPr>
          <w14:ligatures w14:val="standardContextual"/>
        </w:rPr>
      </w:pPr>
      <w:r w:rsidRPr="00E56785">
        <w:rPr>
          <w14:ligatures w14:val="standardContextual"/>
        </w:rPr>
        <w:t>Wkład własny wnoszony przez Beneficjenta  we wniosku o dofinansowanie projektu może być zarówno publiczny, jak i prywatny. Jego rodzaj zależy od statusu prawnego beneficjenta/partnera tj. :</w:t>
      </w:r>
    </w:p>
    <w:p w14:paraId="60BEB4AC" w14:textId="7DD397A8" w:rsidR="00E56785" w:rsidRDefault="00E56785" w:rsidP="00E56785">
      <w:pPr>
        <w:numPr>
          <w:ilvl w:val="0"/>
          <w:numId w:val="9"/>
        </w:numPr>
        <w:spacing w:after="0" w:line="276" w:lineRule="auto"/>
        <w:rPr>
          <w:rFonts w:eastAsia="Times New Roman"/>
          <w14:ligatures w14:val="standardContextual"/>
        </w:rPr>
      </w:pPr>
      <w:r w:rsidRPr="00E56785">
        <w:rPr>
          <w:rFonts w:eastAsia="Times New Roman"/>
          <w14:ligatures w14:val="standardContextual"/>
        </w:rPr>
        <w:t xml:space="preserve">firma prywatna wnosi wkład prywatny, </w:t>
      </w:r>
    </w:p>
    <w:p w14:paraId="396E1413" w14:textId="498F5789" w:rsidR="00E56785" w:rsidRPr="00E56785" w:rsidRDefault="00E56785" w:rsidP="00E56785">
      <w:pPr>
        <w:numPr>
          <w:ilvl w:val="0"/>
          <w:numId w:val="9"/>
        </w:numPr>
        <w:spacing w:after="0" w:line="276" w:lineRule="auto"/>
        <w:rPr>
          <w:rFonts w:eastAsia="Times New Roman"/>
          <w14:ligatures w14:val="standardContextual"/>
        </w:rPr>
      </w:pPr>
      <w:r w:rsidRPr="00E56785">
        <w:rPr>
          <w:rFonts w:eastAsia="Times New Roman"/>
          <w14:ligatures w14:val="standardContextual"/>
        </w:rPr>
        <w:t>jednostka samorządu terytorialnego (JST) wnosi wkład publiczny, pochodzący z budżetu państwa, funduszy celowych (PFRON, Fundusz Pracy) czy własnych środków gospodarczych (wpłat za wyżywienie).</w:t>
      </w:r>
    </w:p>
    <w:p w14:paraId="430431B4" w14:textId="6004E1A4" w:rsidR="00E56785" w:rsidRDefault="00E56785" w:rsidP="00E56785">
      <w:pPr>
        <w:spacing w:line="276" w:lineRule="auto"/>
      </w:pPr>
    </w:p>
    <w:p w14:paraId="36514D1C" w14:textId="1CE20C7D" w:rsidR="00E56785" w:rsidRPr="00E56785" w:rsidRDefault="00E56785" w:rsidP="00E56785">
      <w:pPr>
        <w:pStyle w:val="Akapitzlist"/>
        <w:numPr>
          <w:ilvl w:val="0"/>
          <w:numId w:val="4"/>
        </w:numPr>
        <w:spacing w:line="276" w:lineRule="auto"/>
      </w:pPr>
      <w:r>
        <w:rPr>
          <w:rFonts w:eastAsia="Times New Roman"/>
        </w:rPr>
        <w:lastRenderedPageBreak/>
        <w:t>Czy wkładem do projektu mogą być środki uzyskane z Polskiego Ładu przez Gmin</w:t>
      </w:r>
      <w:r w:rsidR="00484207">
        <w:rPr>
          <w:rFonts w:eastAsia="Times New Roman"/>
        </w:rPr>
        <w:t>ę</w:t>
      </w:r>
      <w:r>
        <w:rPr>
          <w:rFonts w:eastAsia="Times New Roman"/>
        </w:rPr>
        <w:t xml:space="preserve"> na budowę i wyposażenie nowego przedszkola w części dot. nowoutworzonych miejsc wychowania przedszkolnego?</w:t>
      </w:r>
    </w:p>
    <w:p w14:paraId="6CE052D4" w14:textId="15D2B70F" w:rsidR="00E56785" w:rsidRDefault="00E56785" w:rsidP="00E56785">
      <w:pPr>
        <w:spacing w:line="276" w:lineRule="auto"/>
        <w:rPr>
          <w:b/>
          <w:szCs w:val="22"/>
        </w:rPr>
      </w:pPr>
      <w:r w:rsidRPr="00E56785">
        <w:rPr>
          <w:b/>
          <w:szCs w:val="22"/>
        </w:rPr>
        <w:t>Odpowiedź z 16.01.2026</w:t>
      </w:r>
    </w:p>
    <w:p w14:paraId="7EF9E229" w14:textId="77777777" w:rsidR="00E56785" w:rsidRPr="00E56785" w:rsidRDefault="00E56785" w:rsidP="00E56785">
      <w:pPr>
        <w:spacing w:line="276" w:lineRule="auto"/>
        <w:rPr>
          <w:rFonts w:cs="Calibri"/>
          <w:szCs w:val="22"/>
        </w:rPr>
      </w:pPr>
      <w:r w:rsidRPr="00E56785">
        <w:t xml:space="preserve">Zgodnie z Regulaminem konkursu (część 2.3.1 Tworzenie miejsc edukacji przedszkolnej pkt. 8) Wnioskodawca wnosi do projektu wkład własny, który może pochodzić z różnych źródeł, w tym ze środków prywatnych lub budżetu jednostki samorządu terytorialnego, pod warunkiem, że nie są to środki, o których mowa w pkt 7 ww. Regulaminu. Niemniej we wniosku o dofinansowanie przy uzasadnieniu wydatku, należy jednoznacznie wskazać źródło finansowania danego wydatku. </w:t>
      </w:r>
    </w:p>
    <w:p w14:paraId="4FC57677" w14:textId="53664D68" w:rsidR="00E56785" w:rsidRPr="00E56785" w:rsidRDefault="00E56785" w:rsidP="00E56785">
      <w:pPr>
        <w:spacing w:line="276" w:lineRule="auto"/>
      </w:pPr>
      <w:r w:rsidRPr="00E56785">
        <w:t>W przypadku wnoszenia wkładu np. w postaci środków uzyskanych z programu Polski Ład, należy pamiętać, iż muszą być one ponoszone w okresie realizacji projektu, w ramach zadań jako konkretne wydatki  związane z realizacją projektu.</w:t>
      </w:r>
    </w:p>
    <w:sectPr w:rsidR="00E56785" w:rsidRPr="00E56785" w:rsidSect="00C210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1DC8" w14:textId="77777777" w:rsidR="00C12223" w:rsidRDefault="00C12223" w:rsidP="00842964">
      <w:pPr>
        <w:spacing w:after="0" w:line="240" w:lineRule="auto"/>
      </w:pPr>
      <w:r>
        <w:separator/>
      </w:r>
    </w:p>
  </w:endnote>
  <w:endnote w:type="continuationSeparator" w:id="0">
    <w:p w14:paraId="605B1964" w14:textId="77777777" w:rsidR="00C12223" w:rsidRDefault="00C12223" w:rsidP="0084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33F2" w14:textId="77777777" w:rsidR="00C12223" w:rsidRDefault="00C12223" w:rsidP="00842964">
      <w:pPr>
        <w:spacing w:after="0" w:line="240" w:lineRule="auto"/>
      </w:pPr>
      <w:r>
        <w:separator/>
      </w:r>
    </w:p>
  </w:footnote>
  <w:footnote w:type="continuationSeparator" w:id="0">
    <w:p w14:paraId="4F97D6F2" w14:textId="77777777" w:rsidR="00C12223" w:rsidRDefault="00C12223" w:rsidP="0084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259"/>
    <w:multiLevelType w:val="hybridMultilevel"/>
    <w:tmpl w:val="7CC2965A"/>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37A94"/>
    <w:multiLevelType w:val="hybridMultilevel"/>
    <w:tmpl w:val="72A22C42"/>
    <w:lvl w:ilvl="0" w:tplc="8BCEC8FE">
      <w:start w:val="2"/>
      <w:numFmt w:val="decimal"/>
      <w:lvlText w:val="%1."/>
      <w:lvlJc w:val="left"/>
      <w:pPr>
        <w:ind w:left="720" w:hanging="360"/>
      </w:pPr>
      <w:rPr>
        <w:rFonts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9D0DBD"/>
    <w:multiLevelType w:val="hybridMultilevel"/>
    <w:tmpl w:val="782E07CE"/>
    <w:lvl w:ilvl="0" w:tplc="DF7E7752">
      <w:start w:val="1"/>
      <w:numFmt w:val="bullet"/>
      <w:lvlText w:val="•"/>
      <w:lvlJc w:val="left"/>
      <w:pPr>
        <w:tabs>
          <w:tab w:val="num" w:pos="720"/>
        </w:tabs>
        <w:ind w:left="720" w:hanging="360"/>
      </w:pPr>
      <w:rPr>
        <w:rFonts w:ascii="Arial" w:hAnsi="Arial" w:cs="Times New Roman" w:hint="default"/>
      </w:rPr>
    </w:lvl>
    <w:lvl w:ilvl="1" w:tplc="F920E0FE">
      <w:start w:val="1"/>
      <w:numFmt w:val="bullet"/>
      <w:lvlText w:val="•"/>
      <w:lvlJc w:val="left"/>
      <w:pPr>
        <w:tabs>
          <w:tab w:val="num" w:pos="1440"/>
        </w:tabs>
        <w:ind w:left="1440" w:hanging="360"/>
      </w:pPr>
      <w:rPr>
        <w:rFonts w:ascii="Arial" w:hAnsi="Arial" w:cs="Times New Roman" w:hint="default"/>
      </w:rPr>
    </w:lvl>
    <w:lvl w:ilvl="2" w:tplc="EEC23AFE">
      <w:start w:val="1"/>
      <w:numFmt w:val="bullet"/>
      <w:lvlText w:val="•"/>
      <w:lvlJc w:val="left"/>
      <w:pPr>
        <w:tabs>
          <w:tab w:val="num" w:pos="2160"/>
        </w:tabs>
        <w:ind w:left="2160" w:hanging="360"/>
      </w:pPr>
      <w:rPr>
        <w:rFonts w:ascii="Arial" w:hAnsi="Arial" w:cs="Times New Roman" w:hint="default"/>
      </w:rPr>
    </w:lvl>
    <w:lvl w:ilvl="3" w:tplc="A29CE15E">
      <w:start w:val="1"/>
      <w:numFmt w:val="bullet"/>
      <w:lvlText w:val="•"/>
      <w:lvlJc w:val="left"/>
      <w:pPr>
        <w:tabs>
          <w:tab w:val="num" w:pos="2880"/>
        </w:tabs>
        <w:ind w:left="2880" w:hanging="360"/>
      </w:pPr>
      <w:rPr>
        <w:rFonts w:ascii="Arial" w:hAnsi="Arial" w:cs="Times New Roman" w:hint="default"/>
      </w:rPr>
    </w:lvl>
    <w:lvl w:ilvl="4" w:tplc="6332DEA8">
      <w:start w:val="1"/>
      <w:numFmt w:val="bullet"/>
      <w:lvlText w:val="•"/>
      <w:lvlJc w:val="left"/>
      <w:pPr>
        <w:tabs>
          <w:tab w:val="num" w:pos="3600"/>
        </w:tabs>
        <w:ind w:left="3600" w:hanging="360"/>
      </w:pPr>
      <w:rPr>
        <w:rFonts w:ascii="Arial" w:hAnsi="Arial" w:cs="Times New Roman" w:hint="default"/>
      </w:rPr>
    </w:lvl>
    <w:lvl w:ilvl="5" w:tplc="6EA04B3E">
      <w:start w:val="1"/>
      <w:numFmt w:val="bullet"/>
      <w:lvlText w:val="•"/>
      <w:lvlJc w:val="left"/>
      <w:pPr>
        <w:tabs>
          <w:tab w:val="num" w:pos="4320"/>
        </w:tabs>
        <w:ind w:left="4320" w:hanging="360"/>
      </w:pPr>
      <w:rPr>
        <w:rFonts w:ascii="Arial" w:hAnsi="Arial" w:cs="Times New Roman" w:hint="default"/>
      </w:rPr>
    </w:lvl>
    <w:lvl w:ilvl="6" w:tplc="F928FA64">
      <w:start w:val="1"/>
      <w:numFmt w:val="bullet"/>
      <w:lvlText w:val="•"/>
      <w:lvlJc w:val="left"/>
      <w:pPr>
        <w:tabs>
          <w:tab w:val="num" w:pos="5040"/>
        </w:tabs>
        <w:ind w:left="5040" w:hanging="360"/>
      </w:pPr>
      <w:rPr>
        <w:rFonts w:ascii="Arial" w:hAnsi="Arial" w:cs="Times New Roman" w:hint="default"/>
      </w:rPr>
    </w:lvl>
    <w:lvl w:ilvl="7" w:tplc="8632C852">
      <w:start w:val="1"/>
      <w:numFmt w:val="bullet"/>
      <w:lvlText w:val="•"/>
      <w:lvlJc w:val="left"/>
      <w:pPr>
        <w:tabs>
          <w:tab w:val="num" w:pos="5760"/>
        </w:tabs>
        <w:ind w:left="5760" w:hanging="360"/>
      </w:pPr>
      <w:rPr>
        <w:rFonts w:ascii="Arial" w:hAnsi="Arial" w:cs="Times New Roman" w:hint="default"/>
      </w:rPr>
    </w:lvl>
    <w:lvl w:ilvl="8" w:tplc="8A7AEAB2">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3800E09"/>
    <w:multiLevelType w:val="hybridMultilevel"/>
    <w:tmpl w:val="1BA86E24"/>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1A12E5"/>
    <w:multiLevelType w:val="hybridMultilevel"/>
    <w:tmpl w:val="E1FAC99C"/>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D551D6"/>
    <w:multiLevelType w:val="hybridMultilevel"/>
    <w:tmpl w:val="21003F72"/>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2B5039"/>
    <w:multiLevelType w:val="hybridMultilevel"/>
    <w:tmpl w:val="C14E5522"/>
    <w:lvl w:ilvl="0" w:tplc="88080DD2">
      <w:start w:val="3"/>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AD2DC9"/>
    <w:multiLevelType w:val="hybridMultilevel"/>
    <w:tmpl w:val="D6EA8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351DB8"/>
    <w:multiLevelType w:val="hybridMultilevel"/>
    <w:tmpl w:val="BDE69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1A053A"/>
    <w:multiLevelType w:val="hybridMultilevel"/>
    <w:tmpl w:val="C582B10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FC14A6"/>
    <w:multiLevelType w:val="multilevel"/>
    <w:tmpl w:val="64408900"/>
    <w:styleLink w:val="Styl1"/>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5"/>
  </w:num>
  <w:num w:numId="3">
    <w:abstractNumId w:val="9"/>
  </w:num>
  <w:num w:numId="4">
    <w:abstractNumId w:val="0"/>
  </w:num>
  <w:num w:numId="5">
    <w:abstractNumId w:val="7"/>
  </w:num>
  <w:num w:numId="6">
    <w:abstractNumId w:val="4"/>
  </w:num>
  <w:num w:numId="7">
    <w:abstractNumId w:val="1"/>
  </w:num>
  <w:num w:numId="8">
    <w:abstractNumId w:val="8"/>
  </w:num>
  <w:num w:numId="9">
    <w:abstractNumId w:val="2"/>
  </w:num>
  <w:num w:numId="10">
    <w:abstractNumId w:val="3"/>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09BF5F6-A534-4DE8-9EDF-68FC9A34DDEF}"/>
  </w:docVars>
  <w:rsids>
    <w:rsidRoot w:val="007D5B08"/>
    <w:rsid w:val="000108E4"/>
    <w:rsid w:val="0001247D"/>
    <w:rsid w:val="000147A8"/>
    <w:rsid w:val="000254A2"/>
    <w:rsid w:val="00042FCE"/>
    <w:rsid w:val="0005028D"/>
    <w:rsid w:val="000570BD"/>
    <w:rsid w:val="00061B71"/>
    <w:rsid w:val="00074515"/>
    <w:rsid w:val="0007486D"/>
    <w:rsid w:val="0007670B"/>
    <w:rsid w:val="00083CC4"/>
    <w:rsid w:val="000A555C"/>
    <w:rsid w:val="000D1450"/>
    <w:rsid w:val="000D4007"/>
    <w:rsid w:val="000D5470"/>
    <w:rsid w:val="000F5D46"/>
    <w:rsid w:val="000F6259"/>
    <w:rsid w:val="00102433"/>
    <w:rsid w:val="00106171"/>
    <w:rsid w:val="0011058C"/>
    <w:rsid w:val="001142F7"/>
    <w:rsid w:val="00152AFA"/>
    <w:rsid w:val="00161971"/>
    <w:rsid w:val="0017112E"/>
    <w:rsid w:val="00182097"/>
    <w:rsid w:val="001B1BA6"/>
    <w:rsid w:val="001B21EC"/>
    <w:rsid w:val="001B4397"/>
    <w:rsid w:val="001D3A38"/>
    <w:rsid w:val="001E0558"/>
    <w:rsid w:val="001E336D"/>
    <w:rsid w:val="001F048B"/>
    <w:rsid w:val="001F0C72"/>
    <w:rsid w:val="001F66FF"/>
    <w:rsid w:val="00206B89"/>
    <w:rsid w:val="0022585B"/>
    <w:rsid w:val="002407A8"/>
    <w:rsid w:val="002472E4"/>
    <w:rsid w:val="00252803"/>
    <w:rsid w:val="0026701F"/>
    <w:rsid w:val="00270455"/>
    <w:rsid w:val="00275093"/>
    <w:rsid w:val="00287C2C"/>
    <w:rsid w:val="002A04C5"/>
    <w:rsid w:val="002A42B2"/>
    <w:rsid w:val="002C2082"/>
    <w:rsid w:val="002C36AA"/>
    <w:rsid w:val="002C6326"/>
    <w:rsid w:val="002D2A1F"/>
    <w:rsid w:val="002D75B9"/>
    <w:rsid w:val="002E237D"/>
    <w:rsid w:val="002E2551"/>
    <w:rsid w:val="002E34A6"/>
    <w:rsid w:val="002F06D6"/>
    <w:rsid w:val="002F3C0E"/>
    <w:rsid w:val="00314F9D"/>
    <w:rsid w:val="003177F5"/>
    <w:rsid w:val="00322F05"/>
    <w:rsid w:val="00340743"/>
    <w:rsid w:val="00361F8D"/>
    <w:rsid w:val="003773A5"/>
    <w:rsid w:val="003776F1"/>
    <w:rsid w:val="0038308D"/>
    <w:rsid w:val="003A38E2"/>
    <w:rsid w:val="003B23A2"/>
    <w:rsid w:val="003D5105"/>
    <w:rsid w:val="003D6AD7"/>
    <w:rsid w:val="003F1A8C"/>
    <w:rsid w:val="00406B6A"/>
    <w:rsid w:val="00407D63"/>
    <w:rsid w:val="00416E2C"/>
    <w:rsid w:val="00433317"/>
    <w:rsid w:val="004343D1"/>
    <w:rsid w:val="00462710"/>
    <w:rsid w:val="00467B7D"/>
    <w:rsid w:val="00472EF4"/>
    <w:rsid w:val="00482F90"/>
    <w:rsid w:val="00484207"/>
    <w:rsid w:val="004851AC"/>
    <w:rsid w:val="00486763"/>
    <w:rsid w:val="004A6B41"/>
    <w:rsid w:val="004A7E2C"/>
    <w:rsid w:val="004B3014"/>
    <w:rsid w:val="004C41E2"/>
    <w:rsid w:val="004D7564"/>
    <w:rsid w:val="004E643F"/>
    <w:rsid w:val="005062BD"/>
    <w:rsid w:val="005165E1"/>
    <w:rsid w:val="005202CB"/>
    <w:rsid w:val="005247C7"/>
    <w:rsid w:val="00534D4B"/>
    <w:rsid w:val="00541F2B"/>
    <w:rsid w:val="0054334C"/>
    <w:rsid w:val="00564C6E"/>
    <w:rsid w:val="0057507E"/>
    <w:rsid w:val="00582D47"/>
    <w:rsid w:val="005862BD"/>
    <w:rsid w:val="00596D9B"/>
    <w:rsid w:val="005A062F"/>
    <w:rsid w:val="005B2CF0"/>
    <w:rsid w:val="005C535B"/>
    <w:rsid w:val="005D0556"/>
    <w:rsid w:val="005D7775"/>
    <w:rsid w:val="005D7E67"/>
    <w:rsid w:val="005E265B"/>
    <w:rsid w:val="005F7C09"/>
    <w:rsid w:val="00606D6C"/>
    <w:rsid w:val="00632923"/>
    <w:rsid w:val="00633E5C"/>
    <w:rsid w:val="00635716"/>
    <w:rsid w:val="00640877"/>
    <w:rsid w:val="0064272F"/>
    <w:rsid w:val="00643B6D"/>
    <w:rsid w:val="0065508B"/>
    <w:rsid w:val="00664BBD"/>
    <w:rsid w:val="00665241"/>
    <w:rsid w:val="006663A1"/>
    <w:rsid w:val="00671776"/>
    <w:rsid w:val="00672C79"/>
    <w:rsid w:val="00674B1B"/>
    <w:rsid w:val="00685B15"/>
    <w:rsid w:val="0068639D"/>
    <w:rsid w:val="006927F4"/>
    <w:rsid w:val="006A2822"/>
    <w:rsid w:val="006A6346"/>
    <w:rsid w:val="006B3EDD"/>
    <w:rsid w:val="006B77FE"/>
    <w:rsid w:val="006C0875"/>
    <w:rsid w:val="006C1EE1"/>
    <w:rsid w:val="006C479B"/>
    <w:rsid w:val="006D34B7"/>
    <w:rsid w:val="006E5BFF"/>
    <w:rsid w:val="0071409F"/>
    <w:rsid w:val="00720CB5"/>
    <w:rsid w:val="00730D5B"/>
    <w:rsid w:val="007310C7"/>
    <w:rsid w:val="00736558"/>
    <w:rsid w:val="00736F8E"/>
    <w:rsid w:val="00736FA8"/>
    <w:rsid w:val="007455A7"/>
    <w:rsid w:val="00756341"/>
    <w:rsid w:val="00765D8C"/>
    <w:rsid w:val="007A2B68"/>
    <w:rsid w:val="007A3BDC"/>
    <w:rsid w:val="007B07EA"/>
    <w:rsid w:val="007B152E"/>
    <w:rsid w:val="007B22F5"/>
    <w:rsid w:val="007B5209"/>
    <w:rsid w:val="007B6C03"/>
    <w:rsid w:val="007C12CD"/>
    <w:rsid w:val="007D16DB"/>
    <w:rsid w:val="007D216E"/>
    <w:rsid w:val="007D5B08"/>
    <w:rsid w:val="007E0D76"/>
    <w:rsid w:val="007F259E"/>
    <w:rsid w:val="007F3C73"/>
    <w:rsid w:val="007F66C1"/>
    <w:rsid w:val="007F7D08"/>
    <w:rsid w:val="00801A5E"/>
    <w:rsid w:val="0080462A"/>
    <w:rsid w:val="00805A10"/>
    <w:rsid w:val="008110D1"/>
    <w:rsid w:val="008233EB"/>
    <w:rsid w:val="008358DA"/>
    <w:rsid w:val="008413D2"/>
    <w:rsid w:val="00842964"/>
    <w:rsid w:val="00845F6B"/>
    <w:rsid w:val="0085255A"/>
    <w:rsid w:val="00863BBC"/>
    <w:rsid w:val="00866481"/>
    <w:rsid w:val="00866D84"/>
    <w:rsid w:val="00883794"/>
    <w:rsid w:val="00887053"/>
    <w:rsid w:val="00890E1D"/>
    <w:rsid w:val="0089137C"/>
    <w:rsid w:val="008A3CB4"/>
    <w:rsid w:val="008C50FE"/>
    <w:rsid w:val="008D1C57"/>
    <w:rsid w:val="008D6610"/>
    <w:rsid w:val="008E756F"/>
    <w:rsid w:val="008F2B7E"/>
    <w:rsid w:val="008F4F82"/>
    <w:rsid w:val="008F6D5E"/>
    <w:rsid w:val="008F76E0"/>
    <w:rsid w:val="00911269"/>
    <w:rsid w:val="00912598"/>
    <w:rsid w:val="00920E6B"/>
    <w:rsid w:val="00953C8A"/>
    <w:rsid w:val="00957D18"/>
    <w:rsid w:val="00967F70"/>
    <w:rsid w:val="0097395B"/>
    <w:rsid w:val="00990E96"/>
    <w:rsid w:val="00993B2D"/>
    <w:rsid w:val="00993BE6"/>
    <w:rsid w:val="009A18C0"/>
    <w:rsid w:val="009B081D"/>
    <w:rsid w:val="009B26A4"/>
    <w:rsid w:val="009B2FC3"/>
    <w:rsid w:val="009B6A7E"/>
    <w:rsid w:val="009C330B"/>
    <w:rsid w:val="009F2611"/>
    <w:rsid w:val="009F2A72"/>
    <w:rsid w:val="009F3603"/>
    <w:rsid w:val="00A060A9"/>
    <w:rsid w:val="00A07CBD"/>
    <w:rsid w:val="00A12D9E"/>
    <w:rsid w:val="00A27DF6"/>
    <w:rsid w:val="00A45624"/>
    <w:rsid w:val="00A55790"/>
    <w:rsid w:val="00A65597"/>
    <w:rsid w:val="00A71FD4"/>
    <w:rsid w:val="00A812E6"/>
    <w:rsid w:val="00A81FCA"/>
    <w:rsid w:val="00A90AD5"/>
    <w:rsid w:val="00AA3F72"/>
    <w:rsid w:val="00AA773D"/>
    <w:rsid w:val="00AC1211"/>
    <w:rsid w:val="00AD69FA"/>
    <w:rsid w:val="00AE3471"/>
    <w:rsid w:val="00AE4F48"/>
    <w:rsid w:val="00AF02D2"/>
    <w:rsid w:val="00B41BEB"/>
    <w:rsid w:val="00B5611F"/>
    <w:rsid w:val="00B56F34"/>
    <w:rsid w:val="00B71300"/>
    <w:rsid w:val="00B76B78"/>
    <w:rsid w:val="00B77A82"/>
    <w:rsid w:val="00B91B93"/>
    <w:rsid w:val="00BA2247"/>
    <w:rsid w:val="00BA6FDE"/>
    <w:rsid w:val="00BB5E6A"/>
    <w:rsid w:val="00BB73D2"/>
    <w:rsid w:val="00BC7EAA"/>
    <w:rsid w:val="00BE5073"/>
    <w:rsid w:val="00BF12B4"/>
    <w:rsid w:val="00BF1BF0"/>
    <w:rsid w:val="00C0038E"/>
    <w:rsid w:val="00C12223"/>
    <w:rsid w:val="00C162B3"/>
    <w:rsid w:val="00C2101A"/>
    <w:rsid w:val="00C226AE"/>
    <w:rsid w:val="00C3347D"/>
    <w:rsid w:val="00C47185"/>
    <w:rsid w:val="00C518CE"/>
    <w:rsid w:val="00C63A53"/>
    <w:rsid w:val="00C80008"/>
    <w:rsid w:val="00C959C1"/>
    <w:rsid w:val="00C97638"/>
    <w:rsid w:val="00CD2196"/>
    <w:rsid w:val="00CD55E8"/>
    <w:rsid w:val="00CF7035"/>
    <w:rsid w:val="00D12D17"/>
    <w:rsid w:val="00D2542E"/>
    <w:rsid w:val="00D25655"/>
    <w:rsid w:val="00D4187E"/>
    <w:rsid w:val="00D41DED"/>
    <w:rsid w:val="00D5202E"/>
    <w:rsid w:val="00D548F0"/>
    <w:rsid w:val="00D5631A"/>
    <w:rsid w:val="00D92E27"/>
    <w:rsid w:val="00DA2307"/>
    <w:rsid w:val="00DA4879"/>
    <w:rsid w:val="00DB0DD1"/>
    <w:rsid w:val="00DB2323"/>
    <w:rsid w:val="00DD3C56"/>
    <w:rsid w:val="00DD5843"/>
    <w:rsid w:val="00DE1F41"/>
    <w:rsid w:val="00DE62F6"/>
    <w:rsid w:val="00DF384F"/>
    <w:rsid w:val="00DF3A87"/>
    <w:rsid w:val="00DF7641"/>
    <w:rsid w:val="00E03928"/>
    <w:rsid w:val="00E05E15"/>
    <w:rsid w:val="00E12A80"/>
    <w:rsid w:val="00E12EC4"/>
    <w:rsid w:val="00E20831"/>
    <w:rsid w:val="00E27439"/>
    <w:rsid w:val="00E54F18"/>
    <w:rsid w:val="00E56785"/>
    <w:rsid w:val="00E57E95"/>
    <w:rsid w:val="00E61AA2"/>
    <w:rsid w:val="00E63A62"/>
    <w:rsid w:val="00E65627"/>
    <w:rsid w:val="00E9156C"/>
    <w:rsid w:val="00E97BB9"/>
    <w:rsid w:val="00EA0E22"/>
    <w:rsid w:val="00EC5DF7"/>
    <w:rsid w:val="00ED6945"/>
    <w:rsid w:val="00EE3162"/>
    <w:rsid w:val="00EE376F"/>
    <w:rsid w:val="00EF0E73"/>
    <w:rsid w:val="00F04793"/>
    <w:rsid w:val="00F14C54"/>
    <w:rsid w:val="00F15688"/>
    <w:rsid w:val="00F16EC3"/>
    <w:rsid w:val="00F22F70"/>
    <w:rsid w:val="00F269E5"/>
    <w:rsid w:val="00F27666"/>
    <w:rsid w:val="00F305E1"/>
    <w:rsid w:val="00F31FF8"/>
    <w:rsid w:val="00F42399"/>
    <w:rsid w:val="00F55A43"/>
    <w:rsid w:val="00F60C36"/>
    <w:rsid w:val="00F62B5E"/>
    <w:rsid w:val="00F84371"/>
    <w:rsid w:val="00F92AB2"/>
    <w:rsid w:val="00F942DF"/>
    <w:rsid w:val="00FA4502"/>
    <w:rsid w:val="00FA4C4A"/>
    <w:rsid w:val="00FA5936"/>
    <w:rsid w:val="00FA6C88"/>
    <w:rsid w:val="00FB47AB"/>
    <w:rsid w:val="00FD1203"/>
    <w:rsid w:val="00FE17AB"/>
    <w:rsid w:val="00FF6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7A3E"/>
  <w15:chartTrackingRefBased/>
  <w15:docId w15:val="{3B8E9480-1F3F-453C-ABEF-4B64957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3C73"/>
    <w:rPr>
      <w:rFonts w:ascii="Calibri" w:hAnsi="Calibri" w:cstheme="majorBidi"/>
      <w:szCs w:val="32"/>
    </w:rPr>
  </w:style>
  <w:style w:type="paragraph" w:styleId="Nagwek1">
    <w:name w:val="heading 1"/>
    <w:basedOn w:val="Normalny"/>
    <w:link w:val="Nagwek1Znak"/>
    <w:uiPriority w:val="9"/>
    <w:qFormat/>
    <w:rsid w:val="00B5611F"/>
    <w:pPr>
      <w:spacing w:before="100" w:beforeAutospacing="1" w:after="100" w:afterAutospacing="1" w:line="240" w:lineRule="auto"/>
      <w:outlineLvl w:val="0"/>
    </w:pPr>
    <w:rPr>
      <w:rFonts w:cs="Calibri"/>
      <w:b/>
      <w:bCs/>
      <w:kern w:val="36"/>
      <w:sz w:val="48"/>
      <w:szCs w:val="48"/>
      <w:lang w:eastAsia="pl-PL"/>
    </w:rPr>
  </w:style>
  <w:style w:type="paragraph" w:styleId="Nagwek2">
    <w:name w:val="heading 2"/>
    <w:basedOn w:val="Normalny"/>
    <w:next w:val="Normalny"/>
    <w:link w:val="Nagwek2Znak"/>
    <w:uiPriority w:val="9"/>
    <w:unhideWhenUsed/>
    <w:qFormat/>
    <w:rsid w:val="007A3BDC"/>
    <w:pPr>
      <w:keepNext/>
      <w:keepLines/>
      <w:shd w:val="clear" w:color="auto" w:fill="1F3864" w:themeFill="accent1" w:themeFillShade="80"/>
      <w:tabs>
        <w:tab w:val="left" w:pos="425"/>
      </w:tabs>
      <w:spacing w:before="240" w:after="0" w:line="276" w:lineRule="auto"/>
      <w:ind w:left="426" w:hanging="426"/>
      <w:outlineLvl w:val="1"/>
    </w:pPr>
    <w:rPr>
      <w:rFonts w:eastAsiaTheme="majorEastAsia"/>
      <w:b/>
      <w:color w:val="FFFFFF" w:themeColor="background1"/>
      <w:sz w:val="28"/>
      <w:szCs w:val="26"/>
      <w:lang w:eastAsia="pl-PL"/>
    </w:rPr>
  </w:style>
  <w:style w:type="paragraph" w:styleId="Nagwek3">
    <w:name w:val="heading 3"/>
    <w:basedOn w:val="Normalny"/>
    <w:next w:val="Normalny"/>
    <w:link w:val="Nagwek3Znak"/>
    <w:uiPriority w:val="9"/>
    <w:unhideWhenUsed/>
    <w:qFormat/>
    <w:rsid w:val="007A3BDC"/>
    <w:pPr>
      <w:keepNext/>
      <w:keepLines/>
      <w:shd w:val="clear" w:color="auto" w:fill="2F5496" w:themeFill="accent1" w:themeFillShade="BF"/>
      <w:spacing w:before="240" w:after="0" w:line="276" w:lineRule="auto"/>
      <w:ind w:left="850" w:hanging="425"/>
      <w:outlineLvl w:val="2"/>
    </w:pPr>
    <w:rPr>
      <w:rFonts w:eastAsiaTheme="majorEastAsia"/>
      <w:b/>
      <w:color w:val="FFFFFF" w:themeColor="background1"/>
      <w:sz w:val="26"/>
      <w:szCs w:val="24"/>
      <w:lang w:eastAsia="pl-PL"/>
    </w:rPr>
  </w:style>
  <w:style w:type="paragraph" w:styleId="Nagwek4">
    <w:name w:val="heading 4"/>
    <w:basedOn w:val="Normalny"/>
    <w:next w:val="Normalny"/>
    <w:link w:val="Nagwek4Znak"/>
    <w:autoRedefine/>
    <w:uiPriority w:val="99"/>
    <w:unhideWhenUsed/>
    <w:qFormat/>
    <w:rsid w:val="007A3BDC"/>
    <w:pPr>
      <w:keepNext/>
      <w:keepLines/>
      <w:spacing w:before="120" w:after="0" w:line="276" w:lineRule="auto"/>
      <w:ind w:hanging="312"/>
      <w:outlineLvl w:val="3"/>
    </w:pPr>
    <w:rPr>
      <w:rFonts w:eastAsia="MS Mincho"/>
      <w:b/>
      <w:bCs/>
      <w:sz w:val="26"/>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A060A9"/>
    <w:pPr>
      <w:ind w:left="720"/>
      <w:contextualSpacing/>
    </w:pPr>
  </w:style>
  <w:style w:type="character" w:styleId="Hipercze">
    <w:name w:val="Hyperlink"/>
    <w:basedOn w:val="Domylnaczcionkaakapitu"/>
    <w:uiPriority w:val="99"/>
    <w:unhideWhenUsed/>
    <w:rsid w:val="00845F6B"/>
    <w:rPr>
      <w:color w:val="0563C1"/>
      <w:u w:val="single"/>
    </w:rPr>
  </w:style>
  <w:style w:type="character" w:styleId="UyteHipercze">
    <w:name w:val="FollowedHyperlink"/>
    <w:basedOn w:val="Domylnaczcionkaakapitu"/>
    <w:uiPriority w:val="99"/>
    <w:semiHidden/>
    <w:unhideWhenUsed/>
    <w:rsid w:val="00845F6B"/>
    <w:rPr>
      <w:color w:val="954F72" w:themeColor="followedHyperlink"/>
      <w:u w:val="single"/>
    </w:rPr>
  </w:style>
  <w:style w:type="character" w:customStyle="1" w:styleId="font">
    <w:name w:val="font"/>
    <w:basedOn w:val="Domylnaczcionkaakapitu"/>
    <w:rsid w:val="00A45624"/>
  </w:style>
  <w:style w:type="character" w:styleId="Odwoaniedokomentarza">
    <w:name w:val="annotation reference"/>
    <w:basedOn w:val="Domylnaczcionkaakapitu"/>
    <w:uiPriority w:val="99"/>
    <w:semiHidden/>
    <w:unhideWhenUsed/>
    <w:rsid w:val="008A3CB4"/>
    <w:rPr>
      <w:sz w:val="16"/>
      <w:szCs w:val="16"/>
    </w:rPr>
  </w:style>
  <w:style w:type="paragraph" w:styleId="Tekstkomentarza">
    <w:name w:val="annotation text"/>
    <w:basedOn w:val="Normalny"/>
    <w:link w:val="TekstkomentarzaZnak"/>
    <w:uiPriority w:val="99"/>
    <w:unhideWhenUsed/>
    <w:rsid w:val="008A3CB4"/>
    <w:pPr>
      <w:spacing w:after="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rsid w:val="008A3CB4"/>
    <w:rPr>
      <w:rFonts w:ascii="Calibri" w:hAnsi="Calibri" w:cs="Calibri"/>
      <w:sz w:val="20"/>
      <w:szCs w:val="20"/>
      <w:lang w:eastAsia="pl-PL"/>
    </w:rPr>
  </w:style>
  <w:style w:type="paragraph" w:styleId="Tekstdymka">
    <w:name w:val="Balloon Text"/>
    <w:basedOn w:val="Normalny"/>
    <w:link w:val="TekstdymkaZnak"/>
    <w:uiPriority w:val="99"/>
    <w:semiHidden/>
    <w:unhideWhenUsed/>
    <w:rsid w:val="008A3C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CB4"/>
    <w:rPr>
      <w:rFonts w:ascii="Segoe UI" w:hAnsi="Segoe UI" w:cs="Segoe UI"/>
      <w:sz w:val="18"/>
      <w:szCs w:val="18"/>
    </w:rPr>
  </w:style>
  <w:style w:type="paragraph" w:styleId="NormalnyWeb">
    <w:name w:val="Normal (Web)"/>
    <w:basedOn w:val="Normalny"/>
    <w:uiPriority w:val="99"/>
    <w:unhideWhenUsed/>
    <w:rsid w:val="00482F90"/>
    <w:pPr>
      <w:spacing w:before="100" w:beforeAutospacing="1" w:after="100" w:afterAutospacing="1" w:line="240" w:lineRule="auto"/>
    </w:pPr>
    <w:rPr>
      <w:rFonts w:cs="Calibri"/>
      <w:szCs w:val="22"/>
      <w:lang w:eastAsia="pl-PL"/>
    </w:rPr>
  </w:style>
  <w:style w:type="character" w:styleId="Pogrubienie">
    <w:name w:val="Strong"/>
    <w:basedOn w:val="Domylnaczcionkaakapitu"/>
    <w:uiPriority w:val="22"/>
    <w:qFormat/>
    <w:rsid w:val="006C0875"/>
    <w:rPr>
      <w:b/>
      <w:bCs/>
    </w:rPr>
  </w:style>
  <w:style w:type="paragraph" w:styleId="Nagwek">
    <w:name w:val="header"/>
    <w:basedOn w:val="Normalny"/>
    <w:link w:val="NagwekZnak"/>
    <w:uiPriority w:val="99"/>
    <w:unhideWhenUsed/>
    <w:rsid w:val="00842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964"/>
    <w:rPr>
      <w:rFonts w:ascii="Calibri" w:hAnsi="Calibri" w:cstheme="majorBidi"/>
      <w:szCs w:val="32"/>
    </w:rPr>
  </w:style>
  <w:style w:type="paragraph" w:styleId="Stopka">
    <w:name w:val="footer"/>
    <w:basedOn w:val="Normalny"/>
    <w:link w:val="StopkaZnak"/>
    <w:uiPriority w:val="99"/>
    <w:unhideWhenUsed/>
    <w:rsid w:val="00842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964"/>
    <w:rPr>
      <w:rFonts w:ascii="Calibri" w:hAnsi="Calibri" w:cstheme="majorBidi"/>
      <w:szCs w:val="32"/>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E05E15"/>
    <w:rPr>
      <w:rFonts w:ascii="Calibri" w:hAnsi="Calibri" w:cstheme="majorBidi"/>
      <w:szCs w:val="32"/>
    </w:rPr>
  </w:style>
  <w:style w:type="character" w:customStyle="1" w:styleId="size">
    <w:name w:val="size"/>
    <w:basedOn w:val="Domylnaczcionkaakapitu"/>
    <w:rsid w:val="009F2A72"/>
  </w:style>
  <w:style w:type="paragraph" w:styleId="HTML-wstpniesformatowany">
    <w:name w:val="HTML Preformatted"/>
    <w:basedOn w:val="Normalny"/>
    <w:link w:val="HTML-wstpniesformatowanyZnak"/>
    <w:uiPriority w:val="99"/>
    <w:unhideWhenUsed/>
    <w:rsid w:val="0007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7670B"/>
    <w:rPr>
      <w:rFonts w:ascii="Courier New" w:hAnsi="Courier New" w:cs="Courier New"/>
      <w:sz w:val="20"/>
      <w:szCs w:val="20"/>
      <w:lang w:eastAsia="pl-PL"/>
    </w:rPr>
  </w:style>
  <w:style w:type="paragraph" w:customStyle="1" w:styleId="selectionshareable">
    <w:name w:val="selectionshareable"/>
    <w:basedOn w:val="Normalny"/>
    <w:rsid w:val="00632923"/>
    <w:pPr>
      <w:spacing w:before="100" w:beforeAutospacing="1" w:after="100" w:afterAutospacing="1" w:line="240" w:lineRule="auto"/>
    </w:pPr>
    <w:rPr>
      <w:rFonts w:cs="Calibri"/>
      <w:szCs w:val="22"/>
      <w:lang w:eastAsia="pl-PL"/>
    </w:rPr>
  </w:style>
  <w:style w:type="paragraph" w:customStyle="1" w:styleId="WW-Default">
    <w:name w:val="WW-Default"/>
    <w:uiPriority w:val="99"/>
    <w:rsid w:val="0064087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Bezodstpw">
    <w:name w:val="No Spacing"/>
    <w:basedOn w:val="Normalny"/>
    <w:uiPriority w:val="1"/>
    <w:qFormat/>
    <w:rsid w:val="00F269E5"/>
    <w:pPr>
      <w:spacing w:before="100" w:beforeAutospacing="1" w:after="100" w:afterAutospacing="1" w:line="240" w:lineRule="auto"/>
    </w:pPr>
    <w:rPr>
      <w:rFonts w:cs="Calibri"/>
      <w:szCs w:val="22"/>
      <w:lang w:eastAsia="pl-PL"/>
    </w:rPr>
  </w:style>
  <w:style w:type="character" w:customStyle="1" w:styleId="Nagwek1Znak">
    <w:name w:val="Nagłówek 1 Znak"/>
    <w:basedOn w:val="Domylnaczcionkaakapitu"/>
    <w:link w:val="Nagwek1"/>
    <w:uiPriority w:val="9"/>
    <w:rsid w:val="00B5611F"/>
    <w:rPr>
      <w:rFonts w:ascii="Calibri" w:hAnsi="Calibri" w:cs="Calibri"/>
      <w:b/>
      <w:bCs/>
      <w:kern w:val="36"/>
      <w:sz w:val="48"/>
      <w:szCs w:val="48"/>
      <w:lang w:eastAsia="pl-PL"/>
    </w:rPr>
  </w:style>
  <w:style w:type="numbering" w:customStyle="1" w:styleId="Styl1">
    <w:name w:val="Styl1"/>
    <w:uiPriority w:val="99"/>
    <w:rsid w:val="00B5611F"/>
    <w:pPr>
      <w:numPr>
        <w:numId w:val="1"/>
      </w:numPr>
    </w:pPr>
  </w:style>
  <w:style w:type="paragraph" w:customStyle="1" w:styleId="PRZYPISKI1">
    <w:name w:val="PRZYPISKI1"/>
    <w:basedOn w:val="Normalny"/>
    <w:uiPriority w:val="99"/>
    <w:rsid w:val="00F62B5E"/>
    <w:pPr>
      <w:spacing w:after="0" w:line="240" w:lineRule="auto"/>
    </w:pPr>
    <w:rPr>
      <w:rFonts w:ascii="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F62B5E"/>
    <w:rPr>
      <w:vertAlign w:val="superscript"/>
    </w:rPr>
  </w:style>
  <w:style w:type="character" w:customStyle="1" w:styleId="Nagwek2Znak">
    <w:name w:val="Nagłówek 2 Znak"/>
    <w:basedOn w:val="Domylnaczcionkaakapitu"/>
    <w:link w:val="Nagwek2"/>
    <w:uiPriority w:val="9"/>
    <w:rsid w:val="007A3BDC"/>
    <w:rPr>
      <w:rFonts w:ascii="Calibri" w:eastAsiaTheme="majorEastAsia" w:hAnsi="Calibri" w:cstheme="majorBidi"/>
      <w:b/>
      <w:color w:val="FFFFFF" w:themeColor="background1"/>
      <w:sz w:val="28"/>
      <w:szCs w:val="26"/>
      <w:shd w:val="clear" w:color="auto" w:fill="1F3864" w:themeFill="accent1" w:themeFillShade="80"/>
      <w:lang w:eastAsia="pl-PL"/>
    </w:rPr>
  </w:style>
  <w:style w:type="character" w:customStyle="1" w:styleId="Nagwek3Znak">
    <w:name w:val="Nagłówek 3 Znak"/>
    <w:basedOn w:val="Domylnaczcionkaakapitu"/>
    <w:link w:val="Nagwek3"/>
    <w:uiPriority w:val="9"/>
    <w:rsid w:val="007A3BDC"/>
    <w:rPr>
      <w:rFonts w:ascii="Calibri" w:eastAsiaTheme="majorEastAsia" w:hAnsi="Calibri" w:cstheme="majorBidi"/>
      <w:b/>
      <w:color w:val="FFFFFF" w:themeColor="background1"/>
      <w:sz w:val="26"/>
      <w:szCs w:val="24"/>
      <w:shd w:val="clear" w:color="auto" w:fill="2F5496" w:themeFill="accent1" w:themeFillShade="BF"/>
      <w:lang w:eastAsia="pl-PL"/>
    </w:rPr>
  </w:style>
  <w:style w:type="character" w:customStyle="1" w:styleId="Nagwek4Znak">
    <w:name w:val="Nagłówek 4 Znak"/>
    <w:basedOn w:val="Domylnaczcionkaakapitu"/>
    <w:link w:val="Nagwek4"/>
    <w:uiPriority w:val="99"/>
    <w:rsid w:val="007A3BDC"/>
    <w:rPr>
      <w:rFonts w:ascii="Calibri" w:eastAsia="MS Mincho" w:hAnsi="Calibri" w:cstheme="majorBidi"/>
      <w:b/>
      <w:bCs/>
      <w:sz w:val="26"/>
      <w:szCs w:val="28"/>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7A3BDC"/>
    <w:pPr>
      <w:spacing w:after="0" w:line="240" w:lineRule="auto"/>
    </w:pPr>
    <w:rPr>
      <w:rFonts w:cs="Calibr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7A3BDC"/>
    <w:rPr>
      <w:rFonts w:ascii="Calibri" w:hAnsi="Calibri" w:cs="Calibri"/>
      <w:sz w:val="20"/>
      <w:szCs w:val="20"/>
    </w:rPr>
  </w:style>
  <w:style w:type="paragraph" w:styleId="Zwykytekst">
    <w:name w:val="Plain Text"/>
    <w:basedOn w:val="Normalny"/>
    <w:link w:val="ZwykytekstZnak"/>
    <w:uiPriority w:val="99"/>
    <w:unhideWhenUsed/>
    <w:rsid w:val="00061B71"/>
    <w:pPr>
      <w:spacing w:after="0" w:line="240" w:lineRule="auto"/>
    </w:pPr>
    <w:rPr>
      <w:rFonts w:cstheme="minorBidi"/>
      <w:szCs w:val="21"/>
    </w:rPr>
  </w:style>
  <w:style w:type="character" w:customStyle="1" w:styleId="ZwykytekstZnak">
    <w:name w:val="Zwykły tekst Znak"/>
    <w:basedOn w:val="Domylnaczcionkaakapitu"/>
    <w:link w:val="Zwykytekst"/>
    <w:uiPriority w:val="99"/>
    <w:rsid w:val="00061B71"/>
    <w:rPr>
      <w:rFonts w:ascii="Calibri" w:hAnsi="Calibri"/>
      <w:szCs w:val="21"/>
    </w:rPr>
  </w:style>
  <w:style w:type="character" w:customStyle="1" w:styleId="gmaildefault">
    <w:name w:val="gmail_default"/>
    <w:basedOn w:val="Domylnaczcionkaakapitu"/>
    <w:rsid w:val="00E54F18"/>
  </w:style>
  <w:style w:type="paragraph" w:customStyle="1" w:styleId="v1msonormal">
    <w:name w:val="v1msonormal"/>
    <w:basedOn w:val="Normalny"/>
    <w:uiPriority w:val="99"/>
    <w:rsid w:val="001E336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yl3">
    <w:name w:val="styl3"/>
    <w:basedOn w:val="Normalny"/>
    <w:rsid w:val="00BC7EAA"/>
    <w:pPr>
      <w:spacing w:before="100" w:beforeAutospacing="1" w:after="100" w:afterAutospacing="1" w:line="240" w:lineRule="auto"/>
    </w:pPr>
    <w:rPr>
      <w:rFonts w:cs="Calibri"/>
      <w:szCs w:val="22"/>
      <w:lang w:eastAsia="pl-PL"/>
    </w:rPr>
  </w:style>
  <w:style w:type="character" w:styleId="Uwydatnienie">
    <w:name w:val="Emphasis"/>
    <w:basedOn w:val="Domylnaczcionkaakapitu"/>
    <w:uiPriority w:val="20"/>
    <w:qFormat/>
    <w:rsid w:val="005D0556"/>
    <w:rPr>
      <w:i/>
      <w:iCs/>
    </w:rPr>
  </w:style>
  <w:style w:type="paragraph" w:customStyle="1" w:styleId="default">
    <w:name w:val="default"/>
    <w:basedOn w:val="Normalny"/>
    <w:rsid w:val="00A27DF6"/>
    <w:pPr>
      <w:spacing w:before="100" w:beforeAutospacing="1" w:after="100" w:afterAutospacing="1" w:line="240" w:lineRule="auto"/>
    </w:pPr>
    <w:rPr>
      <w:rFonts w:cs="Calibri"/>
      <w:szCs w:val="22"/>
      <w:lang w:eastAsia="pl-PL"/>
    </w:rPr>
  </w:style>
  <w:style w:type="paragraph" w:customStyle="1" w:styleId="text-lead">
    <w:name w:val="text-lead"/>
    <w:basedOn w:val="Normalny"/>
    <w:rsid w:val="00462710"/>
    <w:pPr>
      <w:spacing w:before="100" w:beforeAutospacing="1" w:after="100" w:afterAutospacing="1"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1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7654">
      <w:bodyDiv w:val="1"/>
      <w:marLeft w:val="0"/>
      <w:marRight w:val="0"/>
      <w:marTop w:val="0"/>
      <w:marBottom w:val="0"/>
      <w:divBdr>
        <w:top w:val="none" w:sz="0" w:space="0" w:color="auto"/>
        <w:left w:val="none" w:sz="0" w:space="0" w:color="auto"/>
        <w:bottom w:val="none" w:sz="0" w:space="0" w:color="auto"/>
        <w:right w:val="none" w:sz="0" w:space="0" w:color="auto"/>
      </w:divBdr>
    </w:div>
    <w:div w:id="225531942">
      <w:bodyDiv w:val="1"/>
      <w:marLeft w:val="0"/>
      <w:marRight w:val="0"/>
      <w:marTop w:val="0"/>
      <w:marBottom w:val="0"/>
      <w:divBdr>
        <w:top w:val="none" w:sz="0" w:space="0" w:color="auto"/>
        <w:left w:val="none" w:sz="0" w:space="0" w:color="auto"/>
        <w:bottom w:val="none" w:sz="0" w:space="0" w:color="auto"/>
        <w:right w:val="none" w:sz="0" w:space="0" w:color="auto"/>
      </w:divBdr>
    </w:div>
    <w:div w:id="259872130">
      <w:bodyDiv w:val="1"/>
      <w:marLeft w:val="0"/>
      <w:marRight w:val="0"/>
      <w:marTop w:val="0"/>
      <w:marBottom w:val="0"/>
      <w:divBdr>
        <w:top w:val="none" w:sz="0" w:space="0" w:color="auto"/>
        <w:left w:val="none" w:sz="0" w:space="0" w:color="auto"/>
        <w:bottom w:val="none" w:sz="0" w:space="0" w:color="auto"/>
        <w:right w:val="none" w:sz="0" w:space="0" w:color="auto"/>
      </w:divBdr>
    </w:div>
    <w:div w:id="296644774">
      <w:bodyDiv w:val="1"/>
      <w:marLeft w:val="0"/>
      <w:marRight w:val="0"/>
      <w:marTop w:val="0"/>
      <w:marBottom w:val="0"/>
      <w:divBdr>
        <w:top w:val="none" w:sz="0" w:space="0" w:color="auto"/>
        <w:left w:val="none" w:sz="0" w:space="0" w:color="auto"/>
        <w:bottom w:val="none" w:sz="0" w:space="0" w:color="auto"/>
        <w:right w:val="none" w:sz="0" w:space="0" w:color="auto"/>
      </w:divBdr>
    </w:div>
    <w:div w:id="408967083">
      <w:bodyDiv w:val="1"/>
      <w:marLeft w:val="0"/>
      <w:marRight w:val="0"/>
      <w:marTop w:val="0"/>
      <w:marBottom w:val="0"/>
      <w:divBdr>
        <w:top w:val="none" w:sz="0" w:space="0" w:color="auto"/>
        <w:left w:val="none" w:sz="0" w:space="0" w:color="auto"/>
        <w:bottom w:val="none" w:sz="0" w:space="0" w:color="auto"/>
        <w:right w:val="none" w:sz="0" w:space="0" w:color="auto"/>
      </w:divBdr>
    </w:div>
    <w:div w:id="452284131">
      <w:bodyDiv w:val="1"/>
      <w:marLeft w:val="0"/>
      <w:marRight w:val="0"/>
      <w:marTop w:val="0"/>
      <w:marBottom w:val="0"/>
      <w:divBdr>
        <w:top w:val="none" w:sz="0" w:space="0" w:color="auto"/>
        <w:left w:val="none" w:sz="0" w:space="0" w:color="auto"/>
        <w:bottom w:val="none" w:sz="0" w:space="0" w:color="auto"/>
        <w:right w:val="none" w:sz="0" w:space="0" w:color="auto"/>
      </w:divBdr>
    </w:div>
    <w:div w:id="738207643">
      <w:bodyDiv w:val="1"/>
      <w:marLeft w:val="0"/>
      <w:marRight w:val="0"/>
      <w:marTop w:val="0"/>
      <w:marBottom w:val="0"/>
      <w:divBdr>
        <w:top w:val="none" w:sz="0" w:space="0" w:color="auto"/>
        <w:left w:val="none" w:sz="0" w:space="0" w:color="auto"/>
        <w:bottom w:val="none" w:sz="0" w:space="0" w:color="auto"/>
        <w:right w:val="none" w:sz="0" w:space="0" w:color="auto"/>
      </w:divBdr>
    </w:div>
    <w:div w:id="984579258">
      <w:bodyDiv w:val="1"/>
      <w:marLeft w:val="0"/>
      <w:marRight w:val="0"/>
      <w:marTop w:val="0"/>
      <w:marBottom w:val="0"/>
      <w:divBdr>
        <w:top w:val="none" w:sz="0" w:space="0" w:color="auto"/>
        <w:left w:val="none" w:sz="0" w:space="0" w:color="auto"/>
        <w:bottom w:val="none" w:sz="0" w:space="0" w:color="auto"/>
        <w:right w:val="none" w:sz="0" w:space="0" w:color="auto"/>
      </w:divBdr>
    </w:div>
    <w:div w:id="1060133012">
      <w:bodyDiv w:val="1"/>
      <w:marLeft w:val="0"/>
      <w:marRight w:val="0"/>
      <w:marTop w:val="0"/>
      <w:marBottom w:val="0"/>
      <w:divBdr>
        <w:top w:val="none" w:sz="0" w:space="0" w:color="auto"/>
        <w:left w:val="none" w:sz="0" w:space="0" w:color="auto"/>
        <w:bottom w:val="none" w:sz="0" w:space="0" w:color="auto"/>
        <w:right w:val="none" w:sz="0" w:space="0" w:color="auto"/>
      </w:divBdr>
    </w:div>
    <w:div w:id="1069425124">
      <w:bodyDiv w:val="1"/>
      <w:marLeft w:val="0"/>
      <w:marRight w:val="0"/>
      <w:marTop w:val="0"/>
      <w:marBottom w:val="0"/>
      <w:divBdr>
        <w:top w:val="none" w:sz="0" w:space="0" w:color="auto"/>
        <w:left w:val="none" w:sz="0" w:space="0" w:color="auto"/>
        <w:bottom w:val="none" w:sz="0" w:space="0" w:color="auto"/>
        <w:right w:val="none" w:sz="0" w:space="0" w:color="auto"/>
      </w:divBdr>
    </w:div>
    <w:div w:id="1100644237">
      <w:bodyDiv w:val="1"/>
      <w:marLeft w:val="0"/>
      <w:marRight w:val="0"/>
      <w:marTop w:val="0"/>
      <w:marBottom w:val="0"/>
      <w:divBdr>
        <w:top w:val="none" w:sz="0" w:space="0" w:color="auto"/>
        <w:left w:val="none" w:sz="0" w:space="0" w:color="auto"/>
        <w:bottom w:val="none" w:sz="0" w:space="0" w:color="auto"/>
        <w:right w:val="none" w:sz="0" w:space="0" w:color="auto"/>
      </w:divBdr>
    </w:div>
    <w:div w:id="1149205148">
      <w:bodyDiv w:val="1"/>
      <w:marLeft w:val="0"/>
      <w:marRight w:val="0"/>
      <w:marTop w:val="0"/>
      <w:marBottom w:val="0"/>
      <w:divBdr>
        <w:top w:val="none" w:sz="0" w:space="0" w:color="auto"/>
        <w:left w:val="none" w:sz="0" w:space="0" w:color="auto"/>
        <w:bottom w:val="none" w:sz="0" w:space="0" w:color="auto"/>
        <w:right w:val="none" w:sz="0" w:space="0" w:color="auto"/>
      </w:divBdr>
    </w:div>
    <w:div w:id="1193107010">
      <w:bodyDiv w:val="1"/>
      <w:marLeft w:val="0"/>
      <w:marRight w:val="0"/>
      <w:marTop w:val="0"/>
      <w:marBottom w:val="0"/>
      <w:divBdr>
        <w:top w:val="none" w:sz="0" w:space="0" w:color="auto"/>
        <w:left w:val="none" w:sz="0" w:space="0" w:color="auto"/>
        <w:bottom w:val="none" w:sz="0" w:space="0" w:color="auto"/>
        <w:right w:val="none" w:sz="0" w:space="0" w:color="auto"/>
      </w:divBdr>
    </w:div>
    <w:div w:id="1446265216">
      <w:bodyDiv w:val="1"/>
      <w:marLeft w:val="0"/>
      <w:marRight w:val="0"/>
      <w:marTop w:val="0"/>
      <w:marBottom w:val="0"/>
      <w:divBdr>
        <w:top w:val="none" w:sz="0" w:space="0" w:color="auto"/>
        <w:left w:val="none" w:sz="0" w:space="0" w:color="auto"/>
        <w:bottom w:val="none" w:sz="0" w:space="0" w:color="auto"/>
        <w:right w:val="none" w:sz="0" w:space="0" w:color="auto"/>
      </w:divBdr>
    </w:div>
    <w:div w:id="1460762322">
      <w:bodyDiv w:val="1"/>
      <w:marLeft w:val="0"/>
      <w:marRight w:val="0"/>
      <w:marTop w:val="0"/>
      <w:marBottom w:val="0"/>
      <w:divBdr>
        <w:top w:val="none" w:sz="0" w:space="0" w:color="auto"/>
        <w:left w:val="none" w:sz="0" w:space="0" w:color="auto"/>
        <w:bottom w:val="none" w:sz="0" w:space="0" w:color="auto"/>
        <w:right w:val="none" w:sz="0" w:space="0" w:color="auto"/>
      </w:divBdr>
    </w:div>
    <w:div w:id="1916234111">
      <w:bodyDiv w:val="1"/>
      <w:marLeft w:val="0"/>
      <w:marRight w:val="0"/>
      <w:marTop w:val="0"/>
      <w:marBottom w:val="0"/>
      <w:divBdr>
        <w:top w:val="none" w:sz="0" w:space="0" w:color="auto"/>
        <w:left w:val="none" w:sz="0" w:space="0" w:color="auto"/>
        <w:bottom w:val="none" w:sz="0" w:space="0" w:color="auto"/>
        <w:right w:val="none" w:sz="0" w:space="0" w:color="auto"/>
      </w:divBdr>
    </w:div>
    <w:div w:id="2002997949">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1248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ukacja.efs@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F5F6-A534-4DE8-9EDF-68FC9A34DDEF}">
  <ds:schemaRefs>
    <ds:schemaRef ds:uri="http://www.w3.org/2001/XMLSchema"/>
  </ds:schemaRefs>
</ds:datastoreItem>
</file>

<file path=customXml/itemProps2.xml><?xml version="1.0" encoding="utf-8"?>
<ds:datastoreItem xmlns:ds="http://schemas.openxmlformats.org/officeDocument/2006/customXml" ds:itemID="{AD036DF2-2891-4EE6-9E0D-8FD9F2A4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2201</Words>
  <Characters>13208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Deleżyńska Katarzyna</dc:creator>
  <cp:keywords/>
  <dc:description/>
  <cp:lastModifiedBy>Mojek Daria</cp:lastModifiedBy>
  <cp:revision>3</cp:revision>
  <dcterms:created xsi:type="dcterms:W3CDTF">2026-01-20T06:17:00Z</dcterms:created>
  <dcterms:modified xsi:type="dcterms:W3CDTF">2026-01-20T06:20:00Z</dcterms:modified>
</cp:coreProperties>
</file>